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5912FFDE"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040A4DEB" w:rsidR="00E66558" w:rsidRPr="004D6E73" w:rsidRDefault="009D71E8">
      <w:pPr>
        <w:pStyle w:val="Heading2"/>
        <w:rPr>
          <w:rFonts w:asciiTheme="minorHAnsi" w:hAnsiTheme="minorHAnsi" w:cstheme="minorHAnsi"/>
          <w:b w:val="0"/>
          <w:bCs/>
          <w:color w:val="auto"/>
          <w:sz w:val="22"/>
          <w:szCs w:val="22"/>
        </w:rPr>
      </w:pPr>
      <w:r w:rsidRPr="004D6E73">
        <w:rPr>
          <w:rFonts w:asciiTheme="minorHAnsi" w:hAnsiTheme="minorHAnsi" w:cstheme="minorHAnsi"/>
          <w:b w:val="0"/>
          <w:bCs/>
          <w:color w:val="auto"/>
          <w:sz w:val="22"/>
          <w:szCs w:val="22"/>
        </w:rPr>
        <w:t>This statement details our school’s use of pupil premium (and recovery premium for the 202</w:t>
      </w:r>
      <w:r w:rsidR="0073347C" w:rsidRPr="004D6E73">
        <w:rPr>
          <w:rFonts w:asciiTheme="minorHAnsi" w:hAnsiTheme="minorHAnsi" w:cstheme="minorHAnsi"/>
          <w:b w:val="0"/>
          <w:bCs/>
          <w:color w:val="auto"/>
          <w:sz w:val="22"/>
          <w:szCs w:val="22"/>
        </w:rPr>
        <w:t>3</w:t>
      </w:r>
      <w:r w:rsidRPr="004D6E73">
        <w:rPr>
          <w:rFonts w:asciiTheme="minorHAnsi" w:hAnsiTheme="minorHAnsi" w:cstheme="minorHAnsi"/>
          <w:b w:val="0"/>
          <w:bCs/>
          <w:color w:val="auto"/>
          <w:sz w:val="22"/>
          <w:szCs w:val="22"/>
        </w:rPr>
        <w:t xml:space="preserve"> to </w:t>
      </w:r>
      <w:r w:rsidR="00FB4D10" w:rsidRPr="004D6E73">
        <w:rPr>
          <w:rFonts w:asciiTheme="minorHAnsi" w:hAnsiTheme="minorHAnsi" w:cstheme="minorHAnsi"/>
          <w:b w:val="0"/>
          <w:bCs/>
          <w:color w:val="auto"/>
          <w:sz w:val="22"/>
          <w:szCs w:val="22"/>
        </w:rPr>
        <w:t>202</w:t>
      </w:r>
      <w:r w:rsidR="0073347C" w:rsidRPr="004D6E73">
        <w:rPr>
          <w:rFonts w:asciiTheme="minorHAnsi" w:hAnsiTheme="minorHAnsi" w:cstheme="minorHAnsi"/>
          <w:b w:val="0"/>
          <w:bCs/>
          <w:color w:val="auto"/>
          <w:sz w:val="22"/>
          <w:szCs w:val="22"/>
        </w:rPr>
        <w:t>4</w:t>
      </w:r>
      <w:r w:rsidRPr="004D6E73">
        <w:rPr>
          <w:rFonts w:asciiTheme="minorHAnsi" w:hAnsiTheme="minorHAnsi" w:cstheme="minorHAnsi"/>
          <w:b w:val="0"/>
          <w:bCs/>
          <w:color w:val="auto"/>
          <w:sz w:val="22"/>
          <w:szCs w:val="22"/>
        </w:rPr>
        <w:t xml:space="preserve"> academic year) funding to help improve the attainment of our disadvantaged pupils. </w:t>
      </w:r>
    </w:p>
    <w:p w14:paraId="2A7D54B3" w14:textId="77777777" w:rsidR="00E66558" w:rsidRPr="004D6E73" w:rsidRDefault="009D71E8">
      <w:pPr>
        <w:pStyle w:val="Heading2"/>
        <w:spacing w:before="240"/>
        <w:rPr>
          <w:rFonts w:asciiTheme="minorHAnsi" w:hAnsiTheme="minorHAnsi" w:cstheme="minorHAnsi"/>
          <w:b w:val="0"/>
          <w:bCs/>
          <w:color w:val="auto"/>
          <w:sz w:val="22"/>
          <w:szCs w:val="22"/>
        </w:rPr>
      </w:pPr>
      <w:r w:rsidRPr="004D6E73">
        <w:rPr>
          <w:rFonts w:asciiTheme="minorHAnsi" w:hAnsiTheme="minorHAnsi" w:cstheme="minorHAnsi"/>
          <w:b w:val="0"/>
          <w:bCs/>
          <w:color w:val="auto"/>
          <w:sz w:val="22"/>
          <w:szCs w:val="22"/>
        </w:rPr>
        <w:t xml:space="preserve">It outlines our pupil premium strategy, how we intend to spend the funding in this academic year and the effect that last year’s spending of pupil premium had within our school. </w:t>
      </w:r>
    </w:p>
    <w:p w14:paraId="2A7D54B4" w14:textId="77777777" w:rsidR="00E66558" w:rsidRPr="004D6E73" w:rsidRDefault="009D71E8">
      <w:pPr>
        <w:pStyle w:val="Heading2"/>
        <w:rPr>
          <w:rFonts w:asciiTheme="minorHAnsi" w:hAnsiTheme="minorHAnsi" w:cstheme="minorHAnsi"/>
          <w:sz w:val="22"/>
          <w:szCs w:val="22"/>
        </w:rPr>
      </w:pPr>
      <w:r w:rsidRPr="004D6E73">
        <w:rPr>
          <w:rFonts w:asciiTheme="minorHAnsi" w:hAnsiTheme="minorHAnsi" w:cstheme="minorHAnsi"/>
          <w:sz w:val="22"/>
          <w:szCs w:val="22"/>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374"/>
        <w:gridCol w:w="3112"/>
      </w:tblGrid>
      <w:tr w:rsidR="00E66558" w:rsidRPr="004D6E73" w14:paraId="2A7D54B7" w14:textId="77777777" w:rsidTr="00D16F3C">
        <w:tc>
          <w:tcPr>
            <w:tcW w:w="637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4D6E73" w:rsidRDefault="009D71E8">
            <w:pPr>
              <w:pStyle w:val="TableHeader"/>
              <w:jc w:val="left"/>
              <w:rPr>
                <w:rFonts w:asciiTheme="minorHAnsi" w:hAnsiTheme="minorHAnsi" w:cstheme="minorHAnsi"/>
                <w:sz w:val="22"/>
                <w:szCs w:val="22"/>
              </w:rPr>
            </w:pPr>
            <w:r w:rsidRPr="004D6E73">
              <w:rPr>
                <w:rFonts w:asciiTheme="minorHAnsi" w:hAnsiTheme="minorHAnsi" w:cstheme="minorHAnsi"/>
                <w:sz w:val="22"/>
                <w:szCs w:val="22"/>
              </w:rPr>
              <w:t>Detail</w:t>
            </w:r>
          </w:p>
        </w:tc>
        <w:tc>
          <w:tcPr>
            <w:tcW w:w="31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Pr="004D6E73" w:rsidRDefault="009D71E8">
            <w:pPr>
              <w:pStyle w:val="TableHeader"/>
              <w:jc w:val="left"/>
              <w:rPr>
                <w:rFonts w:asciiTheme="minorHAnsi" w:hAnsiTheme="minorHAnsi" w:cstheme="minorHAnsi"/>
                <w:sz w:val="22"/>
                <w:szCs w:val="22"/>
              </w:rPr>
            </w:pPr>
            <w:r w:rsidRPr="004D6E73">
              <w:rPr>
                <w:rFonts w:asciiTheme="minorHAnsi" w:hAnsiTheme="minorHAnsi" w:cstheme="minorHAnsi"/>
                <w:sz w:val="22"/>
                <w:szCs w:val="22"/>
              </w:rPr>
              <w:t>Data</w:t>
            </w:r>
          </w:p>
        </w:tc>
      </w:tr>
      <w:tr w:rsidR="00E66558" w:rsidRPr="004D6E73" w14:paraId="2A7D54BA" w14:textId="77777777" w:rsidTr="00D16F3C">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4D6E73" w:rsidRDefault="009D71E8">
            <w:pPr>
              <w:pStyle w:val="TableRow"/>
              <w:rPr>
                <w:rFonts w:asciiTheme="minorHAnsi" w:hAnsiTheme="minorHAnsi" w:cstheme="minorHAnsi"/>
                <w:sz w:val="22"/>
                <w:szCs w:val="22"/>
              </w:rPr>
            </w:pPr>
            <w:r w:rsidRPr="004D6E73">
              <w:rPr>
                <w:rFonts w:asciiTheme="minorHAnsi" w:hAnsiTheme="minorHAnsi" w:cstheme="minorHAnsi"/>
                <w:sz w:val="22"/>
                <w:szCs w:val="22"/>
              </w:rPr>
              <w:t>School name</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26BA97B0" w:rsidR="00E66558" w:rsidRPr="004D6E73" w:rsidRDefault="00215026">
            <w:pPr>
              <w:pStyle w:val="TableRow"/>
              <w:rPr>
                <w:rFonts w:asciiTheme="minorHAnsi" w:hAnsiTheme="minorHAnsi" w:cstheme="minorHAnsi"/>
                <w:color w:val="auto"/>
                <w:sz w:val="22"/>
                <w:szCs w:val="22"/>
              </w:rPr>
            </w:pPr>
            <w:r w:rsidRPr="004D6E73">
              <w:rPr>
                <w:rFonts w:asciiTheme="minorHAnsi" w:hAnsiTheme="minorHAnsi" w:cstheme="minorHAnsi"/>
                <w:color w:val="auto"/>
                <w:sz w:val="22"/>
                <w:szCs w:val="22"/>
              </w:rPr>
              <w:t>Bishop Milner Catholic College</w:t>
            </w:r>
          </w:p>
        </w:tc>
      </w:tr>
      <w:tr w:rsidR="00E66558" w:rsidRPr="004D6E73" w14:paraId="2A7D54BD" w14:textId="77777777" w:rsidTr="00D16F3C">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4D6E73" w:rsidRDefault="009D71E8">
            <w:pPr>
              <w:pStyle w:val="TableRow"/>
              <w:rPr>
                <w:rFonts w:asciiTheme="minorHAnsi" w:hAnsiTheme="minorHAnsi" w:cstheme="minorHAnsi"/>
                <w:sz w:val="22"/>
                <w:szCs w:val="22"/>
              </w:rPr>
            </w:pPr>
            <w:r w:rsidRPr="004D6E73">
              <w:rPr>
                <w:rFonts w:asciiTheme="minorHAnsi" w:hAnsiTheme="minorHAnsi" w:cstheme="minorHAnsi"/>
                <w:sz w:val="22"/>
                <w:szCs w:val="22"/>
              </w:rPr>
              <w:t xml:space="preserve">Number of pupils in school </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1E9B571D" w:rsidR="00646AB3" w:rsidRPr="004D6E73" w:rsidRDefault="00C07AC7">
            <w:pPr>
              <w:pStyle w:val="TableRow"/>
              <w:rPr>
                <w:rFonts w:asciiTheme="minorHAnsi" w:hAnsiTheme="minorHAnsi" w:cstheme="minorHAnsi"/>
                <w:color w:val="auto"/>
                <w:sz w:val="22"/>
                <w:szCs w:val="22"/>
              </w:rPr>
            </w:pPr>
            <w:r w:rsidRPr="004D6E73">
              <w:rPr>
                <w:rFonts w:asciiTheme="minorHAnsi" w:hAnsiTheme="minorHAnsi" w:cstheme="minorHAnsi"/>
                <w:color w:val="auto"/>
                <w:sz w:val="22"/>
                <w:szCs w:val="22"/>
              </w:rPr>
              <w:t>847 (738 in year 7-11)</w:t>
            </w:r>
          </w:p>
        </w:tc>
      </w:tr>
      <w:tr w:rsidR="00E66558" w:rsidRPr="004D6E73" w14:paraId="2A7D54C0" w14:textId="77777777" w:rsidTr="00D16F3C">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4D6E73" w:rsidRDefault="009D71E8">
            <w:pPr>
              <w:pStyle w:val="TableRow"/>
              <w:rPr>
                <w:rFonts w:asciiTheme="minorHAnsi" w:hAnsiTheme="minorHAnsi" w:cstheme="minorHAnsi"/>
                <w:sz w:val="22"/>
                <w:szCs w:val="22"/>
              </w:rPr>
            </w:pPr>
            <w:r w:rsidRPr="004D6E73">
              <w:rPr>
                <w:rFonts w:asciiTheme="minorHAnsi" w:hAnsiTheme="minorHAnsi" w:cstheme="minorHAnsi"/>
                <w:sz w:val="22"/>
                <w:szCs w:val="22"/>
              </w:rPr>
              <w:t>Proportion (%) of pupil premium eligible pupils</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689213DC" w:rsidR="00E66558" w:rsidRPr="004D6E73" w:rsidRDefault="00C07AC7">
            <w:pPr>
              <w:pStyle w:val="TableRow"/>
              <w:rPr>
                <w:rFonts w:asciiTheme="minorHAnsi" w:hAnsiTheme="minorHAnsi" w:cstheme="minorHAnsi"/>
                <w:color w:val="auto"/>
                <w:sz w:val="22"/>
                <w:szCs w:val="22"/>
              </w:rPr>
            </w:pPr>
            <w:r w:rsidRPr="004D6E73">
              <w:rPr>
                <w:rFonts w:asciiTheme="minorHAnsi" w:hAnsiTheme="minorHAnsi" w:cstheme="minorHAnsi"/>
                <w:color w:val="auto"/>
                <w:sz w:val="22"/>
                <w:szCs w:val="22"/>
              </w:rPr>
              <w:t>205 (28% in year 7-11)</w:t>
            </w:r>
          </w:p>
        </w:tc>
      </w:tr>
      <w:tr w:rsidR="00E66558" w:rsidRPr="004D6E73" w14:paraId="2A7D54C3" w14:textId="77777777" w:rsidTr="00D16F3C">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Pr="004D6E73" w:rsidRDefault="009D71E8">
            <w:pPr>
              <w:pStyle w:val="TableRow"/>
              <w:rPr>
                <w:rFonts w:asciiTheme="minorHAnsi" w:hAnsiTheme="minorHAnsi" w:cstheme="minorHAnsi"/>
                <w:sz w:val="22"/>
                <w:szCs w:val="22"/>
              </w:rPr>
            </w:pPr>
            <w:r w:rsidRPr="004D6E73">
              <w:rPr>
                <w:rFonts w:asciiTheme="minorHAnsi" w:hAnsiTheme="minorHAnsi" w:cstheme="minorHAnsi"/>
                <w:sz w:val="22"/>
                <w:szCs w:val="22"/>
              </w:rPr>
              <w:t xml:space="preserve">Academic year/years that our current pupil premium strategy plan covers </w:t>
            </w:r>
            <w:r w:rsidRPr="004D6E73">
              <w:rPr>
                <w:rFonts w:asciiTheme="minorHAnsi" w:hAnsiTheme="minorHAnsi" w:cstheme="minorHAnsi"/>
                <w:b/>
                <w:bCs/>
                <w:sz w:val="22"/>
                <w:szCs w:val="22"/>
              </w:rPr>
              <w:t>(</w:t>
            </w:r>
            <w:proofErr w:type="gramStart"/>
            <w:r w:rsidRPr="004D6E73">
              <w:rPr>
                <w:rFonts w:asciiTheme="minorHAnsi" w:hAnsiTheme="minorHAnsi" w:cstheme="minorHAnsi"/>
                <w:b/>
                <w:bCs/>
                <w:sz w:val="22"/>
                <w:szCs w:val="22"/>
              </w:rPr>
              <w:t>3 year</w:t>
            </w:r>
            <w:proofErr w:type="gramEnd"/>
            <w:r w:rsidRPr="004D6E73">
              <w:rPr>
                <w:rFonts w:asciiTheme="minorHAnsi" w:hAnsiTheme="minorHAnsi" w:cstheme="minorHAnsi"/>
                <w:b/>
                <w:bCs/>
                <w:sz w:val="22"/>
                <w:szCs w:val="22"/>
              </w:rPr>
              <w:t xml:space="preserve"> plans are recommended)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11C2F0C7" w:rsidR="00E66558" w:rsidRPr="004D6E73" w:rsidRDefault="00646AB3">
            <w:pPr>
              <w:pStyle w:val="TableRow"/>
              <w:rPr>
                <w:rFonts w:asciiTheme="minorHAnsi" w:hAnsiTheme="minorHAnsi" w:cstheme="minorHAnsi"/>
                <w:color w:val="auto"/>
                <w:sz w:val="22"/>
                <w:szCs w:val="22"/>
              </w:rPr>
            </w:pPr>
            <w:r w:rsidRPr="004D6E73">
              <w:rPr>
                <w:rFonts w:asciiTheme="minorHAnsi" w:hAnsiTheme="minorHAnsi" w:cstheme="minorHAnsi"/>
                <w:color w:val="auto"/>
                <w:sz w:val="22"/>
                <w:szCs w:val="22"/>
              </w:rPr>
              <w:t>Sept 202</w:t>
            </w:r>
            <w:r w:rsidR="00151E34" w:rsidRPr="004D6E73">
              <w:rPr>
                <w:rFonts w:asciiTheme="minorHAnsi" w:hAnsiTheme="minorHAnsi" w:cstheme="minorHAnsi"/>
                <w:color w:val="auto"/>
                <w:sz w:val="22"/>
                <w:szCs w:val="22"/>
              </w:rPr>
              <w:t>2</w:t>
            </w:r>
            <w:r w:rsidRPr="004D6E73">
              <w:rPr>
                <w:rFonts w:asciiTheme="minorHAnsi" w:hAnsiTheme="minorHAnsi" w:cstheme="minorHAnsi"/>
                <w:color w:val="auto"/>
                <w:sz w:val="22"/>
                <w:szCs w:val="22"/>
              </w:rPr>
              <w:t>- August 202</w:t>
            </w:r>
            <w:r w:rsidR="00151E34" w:rsidRPr="004D6E73">
              <w:rPr>
                <w:rFonts w:asciiTheme="minorHAnsi" w:hAnsiTheme="minorHAnsi" w:cstheme="minorHAnsi"/>
                <w:color w:val="auto"/>
                <w:sz w:val="22"/>
                <w:szCs w:val="22"/>
              </w:rPr>
              <w:t>5</w:t>
            </w:r>
          </w:p>
        </w:tc>
      </w:tr>
      <w:tr w:rsidR="00E66558" w:rsidRPr="004D6E73" w14:paraId="2A7D54C6" w14:textId="77777777" w:rsidTr="00D16F3C">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4D6E73" w:rsidRDefault="009D71E8">
            <w:pPr>
              <w:pStyle w:val="TableRow"/>
              <w:rPr>
                <w:rFonts w:asciiTheme="minorHAnsi" w:hAnsiTheme="minorHAnsi" w:cstheme="minorHAnsi"/>
                <w:sz w:val="22"/>
                <w:szCs w:val="22"/>
              </w:rPr>
            </w:pPr>
            <w:r w:rsidRPr="004D6E73">
              <w:rPr>
                <w:rFonts w:asciiTheme="minorHAnsi" w:hAnsiTheme="minorHAnsi" w:cstheme="minorHAnsi"/>
                <w:sz w:val="22"/>
                <w:szCs w:val="22"/>
              </w:rPr>
              <w:t>Date this statement was published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6CDCC07B" w:rsidR="00E66558" w:rsidRPr="004D6E73" w:rsidRDefault="0073347C">
            <w:pPr>
              <w:pStyle w:val="TableRow"/>
              <w:rPr>
                <w:rFonts w:asciiTheme="minorHAnsi" w:hAnsiTheme="minorHAnsi" w:cstheme="minorHAnsi"/>
                <w:color w:val="auto"/>
                <w:sz w:val="22"/>
                <w:szCs w:val="22"/>
              </w:rPr>
            </w:pPr>
            <w:r w:rsidRPr="004D6E73">
              <w:rPr>
                <w:rFonts w:asciiTheme="minorHAnsi" w:hAnsiTheme="minorHAnsi" w:cstheme="minorHAnsi"/>
                <w:color w:val="000000" w:themeColor="text1"/>
                <w:sz w:val="22"/>
                <w:szCs w:val="22"/>
              </w:rPr>
              <w:t>November</w:t>
            </w:r>
            <w:r w:rsidR="00FB4D10" w:rsidRPr="004D6E73">
              <w:rPr>
                <w:rFonts w:asciiTheme="minorHAnsi" w:hAnsiTheme="minorHAnsi" w:cstheme="minorHAnsi"/>
                <w:color w:val="000000" w:themeColor="text1"/>
                <w:sz w:val="22"/>
                <w:szCs w:val="22"/>
              </w:rPr>
              <w:t xml:space="preserve"> 202</w:t>
            </w:r>
            <w:r w:rsidRPr="004D6E73">
              <w:rPr>
                <w:rFonts w:asciiTheme="minorHAnsi" w:hAnsiTheme="minorHAnsi" w:cstheme="minorHAnsi"/>
                <w:color w:val="000000" w:themeColor="text1"/>
                <w:sz w:val="22"/>
                <w:szCs w:val="22"/>
              </w:rPr>
              <w:t>3</w:t>
            </w:r>
          </w:p>
        </w:tc>
      </w:tr>
      <w:tr w:rsidR="00E66558" w:rsidRPr="004D6E73" w14:paraId="2A7D54C9" w14:textId="77777777" w:rsidTr="00D16F3C">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4D6E73" w:rsidRDefault="009D71E8">
            <w:pPr>
              <w:pStyle w:val="TableRow"/>
              <w:rPr>
                <w:rFonts w:asciiTheme="minorHAnsi" w:hAnsiTheme="minorHAnsi" w:cstheme="minorHAnsi"/>
                <w:sz w:val="22"/>
                <w:szCs w:val="22"/>
              </w:rPr>
            </w:pPr>
            <w:r w:rsidRPr="004D6E73">
              <w:rPr>
                <w:rFonts w:asciiTheme="minorHAnsi" w:hAnsiTheme="minorHAnsi" w:cstheme="minorHAnsi"/>
                <w:sz w:val="22"/>
                <w:szCs w:val="22"/>
              </w:rPr>
              <w:t>Date on which it will be reviewed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67FCFD77" w:rsidR="00E66558" w:rsidRPr="004D6E73" w:rsidRDefault="0073347C">
            <w:pPr>
              <w:pStyle w:val="TableRow"/>
              <w:rPr>
                <w:rFonts w:asciiTheme="minorHAnsi" w:hAnsiTheme="minorHAnsi" w:cstheme="minorHAnsi"/>
                <w:color w:val="auto"/>
                <w:sz w:val="22"/>
                <w:szCs w:val="22"/>
              </w:rPr>
            </w:pPr>
            <w:r w:rsidRPr="004D6E73">
              <w:rPr>
                <w:rFonts w:asciiTheme="minorHAnsi" w:hAnsiTheme="minorHAnsi" w:cstheme="minorHAnsi"/>
                <w:color w:val="auto"/>
                <w:sz w:val="22"/>
                <w:szCs w:val="22"/>
              </w:rPr>
              <w:t>November</w:t>
            </w:r>
            <w:r w:rsidR="00151E34" w:rsidRPr="004D6E73">
              <w:rPr>
                <w:rFonts w:asciiTheme="minorHAnsi" w:hAnsiTheme="minorHAnsi" w:cstheme="minorHAnsi"/>
                <w:color w:val="auto"/>
                <w:sz w:val="22"/>
                <w:szCs w:val="22"/>
              </w:rPr>
              <w:t xml:space="preserve"> 202</w:t>
            </w:r>
            <w:r w:rsidR="00C07AC7" w:rsidRPr="004D6E73">
              <w:rPr>
                <w:rFonts w:asciiTheme="minorHAnsi" w:hAnsiTheme="minorHAnsi" w:cstheme="minorHAnsi"/>
                <w:color w:val="auto"/>
                <w:sz w:val="22"/>
                <w:szCs w:val="22"/>
              </w:rPr>
              <w:t>4</w:t>
            </w:r>
          </w:p>
        </w:tc>
      </w:tr>
      <w:tr w:rsidR="00E66558" w:rsidRPr="004D6E73" w14:paraId="2A7D54CC" w14:textId="77777777" w:rsidTr="00D16F3C">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4D6E73" w:rsidRDefault="009D71E8">
            <w:pPr>
              <w:pStyle w:val="TableRow"/>
              <w:rPr>
                <w:rFonts w:asciiTheme="minorHAnsi" w:hAnsiTheme="minorHAnsi" w:cstheme="minorHAnsi"/>
                <w:sz w:val="22"/>
                <w:szCs w:val="22"/>
              </w:rPr>
            </w:pPr>
            <w:r w:rsidRPr="004D6E73">
              <w:rPr>
                <w:rFonts w:asciiTheme="minorHAnsi" w:hAnsiTheme="minorHAnsi" w:cstheme="minorHAnsi"/>
                <w:sz w:val="22"/>
                <w:szCs w:val="22"/>
              </w:rPr>
              <w:t>Statement authorised by</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3D4FB9A7" w:rsidR="00E66558" w:rsidRPr="004D6E73" w:rsidRDefault="00646AB3">
            <w:pPr>
              <w:pStyle w:val="TableRow"/>
              <w:rPr>
                <w:rFonts w:asciiTheme="minorHAnsi" w:hAnsiTheme="minorHAnsi" w:cstheme="minorHAnsi"/>
                <w:color w:val="auto"/>
                <w:sz w:val="22"/>
                <w:szCs w:val="22"/>
              </w:rPr>
            </w:pPr>
            <w:r w:rsidRPr="004D6E73">
              <w:rPr>
                <w:rFonts w:asciiTheme="minorHAnsi" w:hAnsiTheme="minorHAnsi" w:cstheme="minorHAnsi"/>
                <w:color w:val="auto"/>
                <w:sz w:val="22"/>
                <w:szCs w:val="22"/>
              </w:rPr>
              <w:t>R May S Foster</w:t>
            </w:r>
          </w:p>
        </w:tc>
      </w:tr>
      <w:tr w:rsidR="00E66558" w:rsidRPr="004D6E73" w14:paraId="2A7D54CF" w14:textId="77777777" w:rsidTr="00D16F3C">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4D6E73" w:rsidRDefault="009D71E8">
            <w:pPr>
              <w:pStyle w:val="TableRow"/>
              <w:rPr>
                <w:rFonts w:asciiTheme="minorHAnsi" w:hAnsiTheme="minorHAnsi" w:cstheme="minorHAnsi"/>
                <w:sz w:val="22"/>
                <w:szCs w:val="22"/>
              </w:rPr>
            </w:pPr>
            <w:r w:rsidRPr="004D6E73">
              <w:rPr>
                <w:rFonts w:asciiTheme="minorHAnsi" w:hAnsiTheme="minorHAnsi" w:cstheme="minorHAnsi"/>
                <w:sz w:val="22"/>
                <w:szCs w:val="22"/>
              </w:rPr>
              <w:t>Pupil premium lead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6DAF7505" w:rsidR="00E66558" w:rsidRPr="004D6E73" w:rsidRDefault="00646AB3">
            <w:pPr>
              <w:pStyle w:val="TableRow"/>
              <w:rPr>
                <w:rFonts w:asciiTheme="minorHAnsi" w:hAnsiTheme="minorHAnsi" w:cstheme="minorHAnsi"/>
                <w:color w:val="auto"/>
                <w:sz w:val="22"/>
                <w:szCs w:val="22"/>
              </w:rPr>
            </w:pPr>
            <w:r w:rsidRPr="004D6E73">
              <w:rPr>
                <w:rFonts w:asciiTheme="minorHAnsi" w:hAnsiTheme="minorHAnsi" w:cstheme="minorHAnsi"/>
                <w:color w:val="auto"/>
                <w:sz w:val="22"/>
                <w:szCs w:val="22"/>
              </w:rPr>
              <w:t>M Hambrook</w:t>
            </w:r>
          </w:p>
        </w:tc>
      </w:tr>
      <w:tr w:rsidR="00E66558" w:rsidRPr="004D6E73" w14:paraId="2A7D54D2" w14:textId="77777777" w:rsidTr="00D16F3C">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4D6E73" w:rsidRDefault="009D71E8">
            <w:pPr>
              <w:pStyle w:val="TableRow"/>
              <w:rPr>
                <w:rFonts w:asciiTheme="minorHAnsi" w:hAnsiTheme="minorHAnsi" w:cstheme="minorHAnsi"/>
                <w:sz w:val="22"/>
                <w:szCs w:val="22"/>
              </w:rPr>
            </w:pPr>
            <w:r w:rsidRPr="004D6E73">
              <w:rPr>
                <w:rFonts w:asciiTheme="minorHAnsi" w:hAnsiTheme="minorHAnsi" w:cstheme="minorHAnsi"/>
                <w:sz w:val="22"/>
                <w:szCs w:val="22"/>
              </w:rPr>
              <w:t>Governor / Trustee lead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203559F" w:rsidR="00E66558" w:rsidRPr="004D6E73" w:rsidRDefault="00561252" w:rsidP="00FB4D10">
            <w:pPr>
              <w:pStyle w:val="TableRow"/>
              <w:ind w:left="0"/>
              <w:rPr>
                <w:rFonts w:asciiTheme="minorHAnsi" w:hAnsiTheme="minorHAnsi" w:cstheme="minorHAnsi"/>
                <w:color w:val="auto"/>
                <w:sz w:val="22"/>
                <w:szCs w:val="22"/>
              </w:rPr>
            </w:pPr>
            <w:r>
              <w:rPr>
                <w:rFonts w:asciiTheme="minorHAnsi" w:hAnsiTheme="minorHAnsi" w:cstheme="minorHAnsi"/>
                <w:color w:val="auto"/>
                <w:sz w:val="22"/>
                <w:szCs w:val="22"/>
              </w:rPr>
              <w:t>R Marsh</w:t>
            </w:r>
          </w:p>
        </w:tc>
      </w:tr>
    </w:tbl>
    <w:bookmarkEnd w:id="2"/>
    <w:bookmarkEnd w:id="3"/>
    <w:bookmarkEnd w:id="4"/>
    <w:p w14:paraId="2A7D54D3" w14:textId="77777777" w:rsidR="00E66558" w:rsidRPr="004D6E73" w:rsidRDefault="009D71E8">
      <w:pPr>
        <w:spacing w:before="480" w:line="240" w:lineRule="auto"/>
        <w:rPr>
          <w:rFonts w:asciiTheme="minorHAnsi" w:hAnsiTheme="minorHAnsi" w:cstheme="minorHAnsi"/>
          <w:b/>
          <w:color w:val="104F75"/>
          <w:sz w:val="22"/>
          <w:szCs w:val="22"/>
        </w:rPr>
      </w:pPr>
      <w:r w:rsidRPr="004D6E73">
        <w:rPr>
          <w:rFonts w:asciiTheme="minorHAnsi" w:hAnsiTheme="minorHAnsi" w:cstheme="minorHAnsi"/>
          <w:b/>
          <w:color w:val="104F75"/>
          <w:sz w:val="22"/>
          <w:szCs w:val="22"/>
        </w:rPr>
        <w:t>Funding overview</w:t>
      </w:r>
    </w:p>
    <w:tbl>
      <w:tblPr>
        <w:tblW w:w="9486" w:type="dxa"/>
        <w:tblCellMar>
          <w:left w:w="10" w:type="dxa"/>
          <w:right w:w="10" w:type="dxa"/>
        </w:tblCellMar>
        <w:tblLook w:val="04A0" w:firstRow="1" w:lastRow="0" w:firstColumn="1" w:lastColumn="0" w:noHBand="0" w:noVBand="1"/>
      </w:tblPr>
      <w:tblGrid>
        <w:gridCol w:w="6374"/>
        <w:gridCol w:w="3112"/>
      </w:tblGrid>
      <w:tr w:rsidR="00E66558" w:rsidRPr="004D6E73" w14:paraId="2A7D54D6" w14:textId="77777777" w:rsidTr="00713FC9">
        <w:trPr>
          <w:trHeight w:val="374"/>
        </w:trPr>
        <w:tc>
          <w:tcPr>
            <w:tcW w:w="637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4D6E73" w:rsidRDefault="009D71E8">
            <w:pPr>
              <w:pStyle w:val="TableRow"/>
              <w:rPr>
                <w:rFonts w:asciiTheme="minorHAnsi" w:hAnsiTheme="minorHAnsi" w:cstheme="minorHAnsi"/>
                <w:sz w:val="22"/>
                <w:szCs w:val="22"/>
              </w:rPr>
            </w:pPr>
            <w:r w:rsidRPr="004D6E73">
              <w:rPr>
                <w:rFonts w:asciiTheme="minorHAnsi" w:hAnsiTheme="minorHAnsi" w:cstheme="minorHAnsi"/>
                <w:b/>
                <w:sz w:val="22"/>
                <w:szCs w:val="22"/>
              </w:rPr>
              <w:t>Detail</w:t>
            </w:r>
          </w:p>
        </w:tc>
        <w:tc>
          <w:tcPr>
            <w:tcW w:w="31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4D6E73" w:rsidRDefault="009D71E8">
            <w:pPr>
              <w:pStyle w:val="TableRow"/>
              <w:rPr>
                <w:rFonts w:asciiTheme="minorHAnsi" w:hAnsiTheme="minorHAnsi" w:cstheme="minorHAnsi"/>
                <w:sz w:val="22"/>
                <w:szCs w:val="22"/>
              </w:rPr>
            </w:pPr>
            <w:r w:rsidRPr="004D6E73">
              <w:rPr>
                <w:rFonts w:asciiTheme="minorHAnsi" w:hAnsiTheme="minorHAnsi" w:cstheme="minorHAnsi"/>
                <w:b/>
                <w:sz w:val="22"/>
                <w:szCs w:val="22"/>
              </w:rPr>
              <w:t>Amount</w:t>
            </w:r>
          </w:p>
        </w:tc>
      </w:tr>
      <w:tr w:rsidR="00E66558" w:rsidRPr="004D6E73" w14:paraId="2A7D54D9" w14:textId="77777777" w:rsidTr="00713FC9">
        <w:trPr>
          <w:trHeight w:val="374"/>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4D6E73" w:rsidRDefault="009D71E8">
            <w:pPr>
              <w:pStyle w:val="TableRow"/>
              <w:rPr>
                <w:rFonts w:asciiTheme="minorHAnsi" w:hAnsiTheme="minorHAnsi" w:cstheme="minorHAnsi"/>
                <w:sz w:val="22"/>
                <w:szCs w:val="22"/>
              </w:rPr>
            </w:pPr>
            <w:bookmarkStart w:id="14" w:name="_Hlk116412231"/>
            <w:r w:rsidRPr="004D6E73">
              <w:rPr>
                <w:rFonts w:asciiTheme="minorHAnsi" w:hAnsiTheme="minorHAnsi" w:cstheme="minorHAnsi"/>
                <w:sz w:val="22"/>
                <w:szCs w:val="22"/>
              </w:rPr>
              <w:t>Pupil premium funding allocation this academic year</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5A352435" w:rsidR="00E66558" w:rsidRPr="004D6E73" w:rsidRDefault="00E76BF9">
            <w:pPr>
              <w:pStyle w:val="TableRow"/>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£225,630</w:t>
            </w:r>
            <w:r w:rsidR="00151E34" w:rsidRPr="004D6E73">
              <w:rPr>
                <w:rFonts w:asciiTheme="minorHAnsi" w:hAnsiTheme="minorHAnsi" w:cstheme="minorHAnsi"/>
                <w:color w:val="000000" w:themeColor="text1"/>
                <w:sz w:val="22"/>
                <w:szCs w:val="22"/>
              </w:rPr>
              <w:t xml:space="preserve"> (202</w:t>
            </w:r>
            <w:r w:rsidR="0073347C" w:rsidRPr="004D6E73">
              <w:rPr>
                <w:rFonts w:asciiTheme="minorHAnsi" w:hAnsiTheme="minorHAnsi" w:cstheme="minorHAnsi"/>
                <w:color w:val="000000" w:themeColor="text1"/>
                <w:sz w:val="22"/>
                <w:szCs w:val="22"/>
              </w:rPr>
              <w:t>3</w:t>
            </w:r>
            <w:r w:rsidR="00151E34" w:rsidRPr="004D6E73">
              <w:rPr>
                <w:rFonts w:asciiTheme="minorHAnsi" w:hAnsiTheme="minorHAnsi" w:cstheme="minorHAnsi"/>
                <w:color w:val="000000" w:themeColor="text1"/>
                <w:sz w:val="22"/>
                <w:szCs w:val="22"/>
              </w:rPr>
              <w:t>-2</w:t>
            </w:r>
            <w:r w:rsidR="0073347C" w:rsidRPr="004D6E73">
              <w:rPr>
                <w:rFonts w:asciiTheme="minorHAnsi" w:hAnsiTheme="minorHAnsi" w:cstheme="minorHAnsi"/>
                <w:color w:val="000000" w:themeColor="text1"/>
                <w:sz w:val="22"/>
                <w:szCs w:val="22"/>
              </w:rPr>
              <w:t>4</w:t>
            </w:r>
            <w:r w:rsidR="00151E34" w:rsidRPr="004D6E73">
              <w:rPr>
                <w:rFonts w:asciiTheme="minorHAnsi" w:hAnsiTheme="minorHAnsi" w:cstheme="minorHAnsi"/>
                <w:color w:val="000000" w:themeColor="text1"/>
                <w:sz w:val="22"/>
                <w:szCs w:val="22"/>
              </w:rPr>
              <w:t>)</w:t>
            </w:r>
          </w:p>
        </w:tc>
      </w:tr>
      <w:tr w:rsidR="00E66558" w:rsidRPr="004D6E73" w14:paraId="2A7D54DC" w14:textId="77777777" w:rsidTr="00713FC9">
        <w:trPr>
          <w:trHeight w:val="374"/>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4D6E73" w:rsidRDefault="009D71E8">
            <w:pPr>
              <w:pStyle w:val="TableRow"/>
              <w:rPr>
                <w:rFonts w:asciiTheme="minorHAnsi" w:hAnsiTheme="minorHAnsi" w:cstheme="minorHAnsi"/>
                <w:sz w:val="22"/>
                <w:szCs w:val="22"/>
              </w:rPr>
            </w:pPr>
            <w:r w:rsidRPr="004D6E73">
              <w:rPr>
                <w:rFonts w:asciiTheme="minorHAnsi" w:hAnsiTheme="minorHAnsi" w:cstheme="minorHAnsi"/>
                <w:sz w:val="22"/>
                <w:szCs w:val="22"/>
              </w:rPr>
              <w:t>Recovery premium funding allocation this academic year</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087836F1" w:rsidR="00E66558" w:rsidRPr="004D6E73" w:rsidRDefault="00E76BF9">
            <w:pPr>
              <w:pStyle w:val="TableRow"/>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£61, 824 </w:t>
            </w:r>
            <w:r w:rsidR="00151E34" w:rsidRPr="004D6E73">
              <w:rPr>
                <w:rFonts w:asciiTheme="minorHAnsi" w:hAnsiTheme="minorHAnsi" w:cstheme="minorHAnsi"/>
                <w:color w:val="000000" w:themeColor="text1"/>
                <w:sz w:val="22"/>
                <w:szCs w:val="22"/>
              </w:rPr>
              <w:t>(202</w:t>
            </w:r>
            <w:r w:rsidR="0073347C" w:rsidRPr="004D6E73">
              <w:rPr>
                <w:rFonts w:asciiTheme="minorHAnsi" w:hAnsiTheme="minorHAnsi" w:cstheme="minorHAnsi"/>
                <w:color w:val="000000" w:themeColor="text1"/>
                <w:sz w:val="22"/>
                <w:szCs w:val="22"/>
              </w:rPr>
              <w:t>3</w:t>
            </w:r>
            <w:r w:rsidR="00151E34" w:rsidRPr="004D6E73">
              <w:rPr>
                <w:rFonts w:asciiTheme="minorHAnsi" w:hAnsiTheme="minorHAnsi" w:cstheme="minorHAnsi"/>
                <w:color w:val="000000" w:themeColor="text1"/>
                <w:sz w:val="22"/>
                <w:szCs w:val="22"/>
              </w:rPr>
              <w:t>-2</w:t>
            </w:r>
            <w:r w:rsidR="0073347C" w:rsidRPr="004D6E73">
              <w:rPr>
                <w:rFonts w:asciiTheme="minorHAnsi" w:hAnsiTheme="minorHAnsi" w:cstheme="minorHAnsi"/>
                <w:color w:val="000000" w:themeColor="text1"/>
                <w:sz w:val="22"/>
                <w:szCs w:val="22"/>
              </w:rPr>
              <w:t>4</w:t>
            </w:r>
            <w:r w:rsidR="00151E34" w:rsidRPr="004D6E73">
              <w:rPr>
                <w:rFonts w:asciiTheme="minorHAnsi" w:hAnsiTheme="minorHAnsi" w:cstheme="minorHAnsi"/>
                <w:color w:val="000000" w:themeColor="text1"/>
                <w:sz w:val="22"/>
                <w:szCs w:val="22"/>
              </w:rPr>
              <w:t>)</w:t>
            </w:r>
          </w:p>
        </w:tc>
      </w:tr>
      <w:bookmarkEnd w:id="14"/>
      <w:tr w:rsidR="00E66558" w:rsidRPr="004D6E73" w14:paraId="2A7D54DF" w14:textId="77777777" w:rsidTr="00713FC9">
        <w:trPr>
          <w:trHeight w:val="374"/>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4D6E73" w:rsidRDefault="009D71E8">
            <w:pPr>
              <w:pStyle w:val="TableRow"/>
              <w:rPr>
                <w:rFonts w:asciiTheme="minorHAnsi" w:hAnsiTheme="minorHAnsi" w:cstheme="minorHAnsi"/>
                <w:sz w:val="22"/>
                <w:szCs w:val="22"/>
              </w:rPr>
            </w:pPr>
            <w:r w:rsidRPr="004D6E73">
              <w:rPr>
                <w:rFonts w:asciiTheme="minorHAnsi" w:hAnsiTheme="minorHAnsi" w:cstheme="minorHAnsi"/>
                <w:sz w:val="22"/>
                <w:szCs w:val="22"/>
              </w:rPr>
              <w:t>Pupil premium funding carried forward from previous years (enter £0 if not applicable)</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087331FA" w:rsidR="00E66558" w:rsidRPr="004D6E73" w:rsidRDefault="00E66558">
            <w:pPr>
              <w:pStyle w:val="TableRow"/>
              <w:rPr>
                <w:rFonts w:asciiTheme="minorHAnsi" w:hAnsiTheme="minorHAnsi" w:cstheme="minorHAnsi"/>
                <w:color w:val="000000" w:themeColor="text1"/>
                <w:sz w:val="22"/>
                <w:szCs w:val="22"/>
              </w:rPr>
            </w:pPr>
          </w:p>
        </w:tc>
      </w:tr>
      <w:tr w:rsidR="00E66558" w:rsidRPr="004D6E73" w14:paraId="2A7D54E3" w14:textId="77777777" w:rsidTr="00713FC9">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4D6E73" w:rsidRDefault="009D71E8">
            <w:pPr>
              <w:pStyle w:val="TableRow"/>
              <w:rPr>
                <w:rFonts w:asciiTheme="minorHAnsi" w:hAnsiTheme="minorHAnsi" w:cstheme="minorHAnsi"/>
                <w:b/>
                <w:sz w:val="22"/>
                <w:szCs w:val="22"/>
              </w:rPr>
            </w:pPr>
            <w:r w:rsidRPr="004D6E73">
              <w:rPr>
                <w:rFonts w:asciiTheme="minorHAnsi" w:hAnsiTheme="minorHAnsi" w:cstheme="minorHAnsi"/>
                <w:b/>
                <w:sz w:val="22"/>
                <w:szCs w:val="22"/>
              </w:rPr>
              <w:t>Total budget for this academic year</w:t>
            </w:r>
          </w:p>
          <w:p w14:paraId="2A7D54E1" w14:textId="77777777" w:rsidR="00E66558" w:rsidRPr="004D6E73" w:rsidRDefault="009D71E8">
            <w:pPr>
              <w:pStyle w:val="TableRow"/>
              <w:rPr>
                <w:rFonts w:asciiTheme="minorHAnsi" w:hAnsiTheme="minorHAnsi" w:cstheme="minorHAnsi"/>
                <w:sz w:val="22"/>
                <w:szCs w:val="22"/>
              </w:rPr>
            </w:pPr>
            <w:r w:rsidRPr="004D6E73">
              <w:rPr>
                <w:rFonts w:asciiTheme="minorHAnsi" w:hAnsiTheme="minorHAnsi" w:cstheme="minorHAnsi"/>
                <w:sz w:val="22"/>
                <w:szCs w:val="22"/>
              </w:rPr>
              <w:t>If your school is an academy in a trust that pools this funding, state the amount available to your school this academic year</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6BCF4797" w:rsidR="00E66558" w:rsidRPr="004D6E73" w:rsidRDefault="00E76BF9">
            <w:pPr>
              <w:pStyle w:val="TableRow"/>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£287,554</w:t>
            </w:r>
            <w:r w:rsidR="00F85148" w:rsidRPr="004D6E73">
              <w:rPr>
                <w:rFonts w:asciiTheme="minorHAnsi" w:hAnsiTheme="minorHAnsi" w:cstheme="minorHAnsi"/>
                <w:color w:val="000000" w:themeColor="text1"/>
                <w:sz w:val="22"/>
                <w:szCs w:val="22"/>
              </w:rPr>
              <w:t xml:space="preserve"> (202</w:t>
            </w:r>
            <w:r w:rsidR="0073347C" w:rsidRPr="004D6E73">
              <w:rPr>
                <w:rFonts w:asciiTheme="minorHAnsi" w:hAnsiTheme="minorHAnsi" w:cstheme="minorHAnsi"/>
                <w:color w:val="000000" w:themeColor="text1"/>
                <w:sz w:val="22"/>
                <w:szCs w:val="22"/>
              </w:rPr>
              <w:t>3</w:t>
            </w:r>
            <w:r w:rsidR="00F85148" w:rsidRPr="004D6E73">
              <w:rPr>
                <w:rFonts w:asciiTheme="minorHAnsi" w:hAnsiTheme="minorHAnsi" w:cstheme="minorHAnsi"/>
                <w:color w:val="000000" w:themeColor="text1"/>
                <w:sz w:val="22"/>
                <w:szCs w:val="22"/>
              </w:rPr>
              <w:t>-2</w:t>
            </w:r>
            <w:r w:rsidR="0073347C" w:rsidRPr="004D6E73">
              <w:rPr>
                <w:rFonts w:asciiTheme="minorHAnsi" w:hAnsiTheme="minorHAnsi" w:cstheme="minorHAnsi"/>
                <w:color w:val="000000" w:themeColor="text1"/>
                <w:sz w:val="22"/>
                <w:szCs w:val="22"/>
              </w:rPr>
              <w:t>4</w:t>
            </w:r>
            <w:r w:rsidR="00F85148" w:rsidRPr="004D6E73">
              <w:rPr>
                <w:rFonts w:asciiTheme="minorHAnsi" w:hAnsiTheme="minorHAnsi" w:cstheme="minorHAnsi"/>
                <w:color w:val="000000" w:themeColor="text1"/>
                <w:sz w:val="22"/>
                <w:szCs w:val="22"/>
              </w:rPr>
              <w:t>)</w:t>
            </w:r>
          </w:p>
        </w:tc>
      </w:tr>
    </w:tbl>
    <w:p w14:paraId="2A7D54E4" w14:textId="77777777" w:rsidR="00E66558" w:rsidRPr="004D6E73" w:rsidRDefault="009D71E8">
      <w:pPr>
        <w:pStyle w:val="Heading1"/>
        <w:rPr>
          <w:rFonts w:asciiTheme="minorHAnsi" w:hAnsiTheme="minorHAnsi" w:cstheme="minorHAnsi"/>
          <w:sz w:val="22"/>
          <w:szCs w:val="22"/>
        </w:rPr>
      </w:pPr>
      <w:r w:rsidRPr="004D6E73">
        <w:rPr>
          <w:rFonts w:asciiTheme="minorHAnsi" w:hAnsiTheme="minorHAnsi" w:cstheme="minorHAnsi"/>
          <w:sz w:val="22"/>
          <w:szCs w:val="22"/>
        </w:rPr>
        <w:lastRenderedPageBreak/>
        <w:t>Part A: Pupil premium strategy plan</w:t>
      </w:r>
    </w:p>
    <w:p w14:paraId="2A7D54E5" w14:textId="77777777" w:rsidR="00E66558" w:rsidRPr="004D6E73" w:rsidRDefault="009D71E8">
      <w:pPr>
        <w:pStyle w:val="Heading2"/>
        <w:rPr>
          <w:rFonts w:asciiTheme="minorHAnsi" w:hAnsiTheme="minorHAnsi" w:cstheme="minorHAnsi"/>
          <w:sz w:val="22"/>
          <w:szCs w:val="22"/>
        </w:rPr>
      </w:pPr>
      <w:bookmarkStart w:id="15" w:name="_Toc357771640"/>
      <w:bookmarkStart w:id="16" w:name="_Toc346793418"/>
      <w:r w:rsidRPr="004D6E73">
        <w:rPr>
          <w:rFonts w:asciiTheme="minorHAnsi" w:hAnsiTheme="minorHAnsi" w:cstheme="minorHAnsi"/>
          <w:sz w:val="22"/>
          <w:szCs w:val="22"/>
        </w:rP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RPr="004D6E73"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65186" w14:textId="77777777" w:rsidR="00CE4CDC" w:rsidRPr="004D6E73" w:rsidRDefault="00646AB3" w:rsidP="003C453E">
            <w:pPr>
              <w:pStyle w:val="ListParagraph"/>
              <w:numPr>
                <w:ilvl w:val="0"/>
                <w:numId w:val="0"/>
              </w:numPr>
              <w:suppressAutoHyphens w:val="0"/>
              <w:autoSpaceDN/>
              <w:ind w:left="720"/>
              <w:rPr>
                <w:rFonts w:asciiTheme="minorHAnsi" w:hAnsiTheme="minorHAnsi" w:cstheme="minorHAnsi"/>
                <w:iCs/>
                <w:color w:val="0070C0"/>
                <w:sz w:val="22"/>
                <w:szCs w:val="22"/>
                <w:lang w:val="en-US"/>
              </w:rPr>
            </w:pPr>
            <w:r w:rsidRPr="004D6E73">
              <w:rPr>
                <w:rFonts w:asciiTheme="minorHAnsi" w:hAnsiTheme="minorHAnsi" w:cstheme="minorHAnsi"/>
                <w:iCs/>
                <w:color w:val="0070C0"/>
                <w:sz w:val="22"/>
                <w:szCs w:val="22"/>
                <w:lang w:val="en-US"/>
              </w:rPr>
              <w:t xml:space="preserve">This strategy aims to support both </w:t>
            </w:r>
            <w:r w:rsidR="00CE4CDC" w:rsidRPr="004D6E73">
              <w:rPr>
                <w:rFonts w:asciiTheme="minorHAnsi" w:hAnsiTheme="minorHAnsi" w:cstheme="minorHAnsi"/>
                <w:iCs/>
                <w:color w:val="0070C0"/>
                <w:sz w:val="22"/>
                <w:szCs w:val="22"/>
                <w:lang w:val="en-US"/>
              </w:rPr>
              <w:t xml:space="preserve">the </w:t>
            </w:r>
            <w:r w:rsidRPr="004D6E73">
              <w:rPr>
                <w:rFonts w:asciiTheme="minorHAnsi" w:hAnsiTheme="minorHAnsi" w:cstheme="minorHAnsi"/>
                <w:iCs/>
                <w:color w:val="0070C0"/>
                <w:sz w:val="22"/>
                <w:szCs w:val="22"/>
                <w:lang w:val="en-US"/>
              </w:rPr>
              <w:t xml:space="preserve">educational needs and the wider pastoral needs of </w:t>
            </w:r>
            <w:r w:rsidR="00D40279" w:rsidRPr="004D6E73">
              <w:rPr>
                <w:rFonts w:asciiTheme="minorHAnsi" w:hAnsiTheme="minorHAnsi" w:cstheme="minorHAnsi"/>
                <w:iCs/>
                <w:color w:val="0070C0"/>
                <w:sz w:val="22"/>
                <w:szCs w:val="22"/>
                <w:lang w:val="en-US"/>
              </w:rPr>
              <w:t xml:space="preserve">students at Bishop Milner. </w:t>
            </w:r>
          </w:p>
          <w:p w14:paraId="57841EE7" w14:textId="3ECC78C3" w:rsidR="008638A5" w:rsidRPr="004D6E73" w:rsidRDefault="00D40279" w:rsidP="003C453E">
            <w:pPr>
              <w:pStyle w:val="ListParagraph"/>
              <w:numPr>
                <w:ilvl w:val="0"/>
                <w:numId w:val="0"/>
              </w:numPr>
              <w:suppressAutoHyphens w:val="0"/>
              <w:autoSpaceDN/>
              <w:ind w:left="720"/>
              <w:rPr>
                <w:rFonts w:asciiTheme="minorHAnsi" w:hAnsiTheme="minorHAnsi" w:cstheme="minorHAnsi"/>
                <w:iCs/>
                <w:color w:val="0070C0"/>
                <w:sz w:val="22"/>
                <w:szCs w:val="22"/>
                <w:lang w:val="en-US"/>
              </w:rPr>
            </w:pPr>
            <w:r w:rsidRPr="004D6E73">
              <w:rPr>
                <w:rFonts w:asciiTheme="minorHAnsi" w:hAnsiTheme="minorHAnsi" w:cstheme="minorHAnsi"/>
                <w:iCs/>
                <w:color w:val="0070C0"/>
                <w:sz w:val="22"/>
                <w:szCs w:val="22"/>
                <w:lang w:val="en-US"/>
              </w:rPr>
              <w:t>The strategies that are planned for</w:t>
            </w:r>
            <w:r w:rsidR="00CE4CDC" w:rsidRPr="004D6E73">
              <w:rPr>
                <w:rFonts w:asciiTheme="minorHAnsi" w:hAnsiTheme="minorHAnsi" w:cstheme="minorHAnsi"/>
                <w:iCs/>
                <w:color w:val="0070C0"/>
                <w:sz w:val="22"/>
                <w:szCs w:val="22"/>
                <w:lang w:val="en-US"/>
              </w:rPr>
              <w:t>,</w:t>
            </w:r>
            <w:r w:rsidRPr="004D6E73">
              <w:rPr>
                <w:rFonts w:asciiTheme="minorHAnsi" w:hAnsiTheme="minorHAnsi" w:cstheme="minorHAnsi"/>
                <w:iCs/>
                <w:color w:val="0070C0"/>
                <w:sz w:val="22"/>
                <w:szCs w:val="22"/>
                <w:lang w:val="en-US"/>
              </w:rPr>
              <w:t xml:space="preserve"> and put in place</w:t>
            </w:r>
            <w:r w:rsidR="00CE4CDC" w:rsidRPr="004D6E73">
              <w:rPr>
                <w:rFonts w:asciiTheme="minorHAnsi" w:hAnsiTheme="minorHAnsi" w:cstheme="minorHAnsi"/>
                <w:iCs/>
                <w:color w:val="0070C0"/>
                <w:sz w:val="22"/>
                <w:szCs w:val="22"/>
                <w:lang w:val="en-US"/>
              </w:rPr>
              <w:t>,</w:t>
            </w:r>
            <w:r w:rsidRPr="004D6E73">
              <w:rPr>
                <w:rFonts w:asciiTheme="minorHAnsi" w:hAnsiTheme="minorHAnsi" w:cstheme="minorHAnsi"/>
                <w:iCs/>
                <w:color w:val="0070C0"/>
                <w:sz w:val="22"/>
                <w:szCs w:val="22"/>
                <w:lang w:val="en-US"/>
              </w:rPr>
              <w:t xml:space="preserve"> will be done so with a specific focus on disadvantaged students, whose experiences during the pandemic will not have been as favourable as their disadvantaged peers</w:t>
            </w:r>
            <w:r w:rsidR="00CE4CDC" w:rsidRPr="004D6E73">
              <w:rPr>
                <w:rFonts w:asciiTheme="minorHAnsi" w:hAnsiTheme="minorHAnsi" w:cstheme="minorHAnsi"/>
                <w:iCs/>
                <w:color w:val="0070C0"/>
                <w:sz w:val="22"/>
                <w:szCs w:val="22"/>
                <w:lang w:val="en-US"/>
              </w:rPr>
              <w:t>, exacerbating further the gaps in knowledge and social experiences.</w:t>
            </w:r>
          </w:p>
          <w:p w14:paraId="6B2EADA8" w14:textId="7B95F6D7" w:rsidR="00D40279" w:rsidRPr="004D6E73" w:rsidRDefault="00D40279" w:rsidP="003C453E">
            <w:pPr>
              <w:pStyle w:val="ListParagraph"/>
              <w:numPr>
                <w:ilvl w:val="0"/>
                <w:numId w:val="0"/>
              </w:numPr>
              <w:suppressAutoHyphens w:val="0"/>
              <w:autoSpaceDN/>
              <w:ind w:left="720"/>
              <w:rPr>
                <w:rFonts w:asciiTheme="minorHAnsi" w:hAnsiTheme="minorHAnsi" w:cstheme="minorHAnsi"/>
                <w:iCs/>
                <w:color w:val="0070C0"/>
                <w:sz w:val="22"/>
                <w:szCs w:val="22"/>
                <w:lang w:val="en-US"/>
              </w:rPr>
            </w:pPr>
            <w:r w:rsidRPr="004D6E73">
              <w:rPr>
                <w:rFonts w:asciiTheme="minorHAnsi" w:hAnsiTheme="minorHAnsi" w:cstheme="minorHAnsi"/>
                <w:iCs/>
                <w:color w:val="0070C0"/>
                <w:sz w:val="22"/>
                <w:szCs w:val="22"/>
                <w:lang w:val="en-US"/>
              </w:rPr>
              <w:t xml:space="preserve">Supporting students with academic resources, additional tutoring, enhanced pastoral support and access to extra-curricular opportunities will play a part in enhancing the life chances of </w:t>
            </w:r>
            <w:r w:rsidR="007924C9" w:rsidRPr="004D6E73">
              <w:rPr>
                <w:rFonts w:asciiTheme="minorHAnsi" w:hAnsiTheme="minorHAnsi" w:cstheme="minorHAnsi"/>
                <w:iCs/>
                <w:color w:val="0070C0"/>
                <w:sz w:val="22"/>
                <w:szCs w:val="22"/>
                <w:lang w:val="en-US"/>
              </w:rPr>
              <w:t>all students</w:t>
            </w:r>
            <w:r w:rsidR="00CE4CDC" w:rsidRPr="004D6E73">
              <w:rPr>
                <w:rFonts w:asciiTheme="minorHAnsi" w:hAnsiTheme="minorHAnsi" w:cstheme="minorHAnsi"/>
                <w:iCs/>
                <w:color w:val="0070C0"/>
                <w:sz w:val="22"/>
                <w:szCs w:val="22"/>
                <w:lang w:val="en-US"/>
              </w:rPr>
              <w:t xml:space="preserve"> and narrowing the gaps that have widened over the past 2 years</w:t>
            </w:r>
          </w:p>
          <w:p w14:paraId="2A7D54E9" w14:textId="60DD574C" w:rsidR="00D40279" w:rsidRPr="004D6E73" w:rsidRDefault="00D40279" w:rsidP="003C453E">
            <w:pPr>
              <w:pStyle w:val="ListParagraph"/>
              <w:numPr>
                <w:ilvl w:val="0"/>
                <w:numId w:val="0"/>
              </w:numPr>
              <w:suppressAutoHyphens w:val="0"/>
              <w:autoSpaceDN/>
              <w:ind w:left="720"/>
              <w:rPr>
                <w:rFonts w:asciiTheme="minorHAnsi" w:hAnsiTheme="minorHAnsi" w:cstheme="minorHAnsi"/>
                <w:iCs/>
                <w:color w:val="0070C0"/>
                <w:sz w:val="22"/>
                <w:szCs w:val="22"/>
                <w:lang w:val="en-US"/>
              </w:rPr>
            </w:pPr>
            <w:r w:rsidRPr="004D6E73">
              <w:rPr>
                <w:rFonts w:asciiTheme="minorHAnsi" w:hAnsiTheme="minorHAnsi" w:cstheme="minorHAnsi"/>
                <w:iCs/>
                <w:color w:val="0070C0"/>
                <w:sz w:val="22"/>
                <w:szCs w:val="22"/>
                <w:lang w:val="en-US"/>
              </w:rPr>
              <w:t xml:space="preserve">The </w:t>
            </w:r>
            <w:r w:rsidR="007924C9" w:rsidRPr="004D6E73">
              <w:rPr>
                <w:rFonts w:asciiTheme="minorHAnsi" w:hAnsiTheme="minorHAnsi" w:cstheme="minorHAnsi"/>
                <w:iCs/>
                <w:color w:val="0070C0"/>
                <w:sz w:val="22"/>
                <w:szCs w:val="22"/>
                <w:lang w:val="en-US"/>
              </w:rPr>
              <w:t>strategies put in place will be based up to date research and will be monitored to ensure that they are both effective and impactful in supporting students reach their full potential</w:t>
            </w:r>
            <w:r w:rsidR="00CE4CDC" w:rsidRPr="004D6E73">
              <w:rPr>
                <w:rFonts w:asciiTheme="minorHAnsi" w:hAnsiTheme="minorHAnsi" w:cstheme="minorHAnsi"/>
                <w:iCs/>
                <w:color w:val="0070C0"/>
                <w:sz w:val="22"/>
                <w:szCs w:val="22"/>
                <w:lang w:val="en-US"/>
              </w:rPr>
              <w:t>, allowing them to make progress that will allow them to be aspirational in the choices they make for the next steps of their education.</w:t>
            </w:r>
          </w:p>
        </w:tc>
      </w:tr>
    </w:tbl>
    <w:p w14:paraId="2A7D54EB" w14:textId="77777777" w:rsidR="00E66558" w:rsidRPr="004D6E73" w:rsidRDefault="009D71E8">
      <w:pPr>
        <w:pStyle w:val="Heading2"/>
        <w:spacing w:before="600"/>
        <w:rPr>
          <w:rFonts w:asciiTheme="minorHAnsi" w:hAnsiTheme="minorHAnsi" w:cstheme="minorHAnsi"/>
          <w:sz w:val="22"/>
          <w:szCs w:val="22"/>
        </w:rPr>
      </w:pPr>
      <w:r w:rsidRPr="004D6E73">
        <w:rPr>
          <w:rFonts w:asciiTheme="minorHAnsi" w:hAnsiTheme="minorHAnsi" w:cstheme="minorHAnsi"/>
          <w:sz w:val="22"/>
          <w:szCs w:val="22"/>
        </w:rPr>
        <w:t>Challenges</w:t>
      </w:r>
    </w:p>
    <w:p w14:paraId="2A7D54EC" w14:textId="77777777" w:rsidR="00E66558" w:rsidRPr="004D6E73" w:rsidRDefault="009D71E8">
      <w:pPr>
        <w:spacing w:before="120" w:line="240" w:lineRule="auto"/>
        <w:textAlignment w:val="baseline"/>
        <w:outlineLvl w:val="0"/>
        <w:rPr>
          <w:rFonts w:asciiTheme="minorHAnsi" w:hAnsiTheme="minorHAnsi" w:cstheme="minorHAnsi"/>
          <w:sz w:val="22"/>
          <w:szCs w:val="22"/>
        </w:rPr>
      </w:pPr>
      <w:r w:rsidRPr="004D6E73">
        <w:rPr>
          <w:rFonts w:asciiTheme="minorHAnsi" w:hAnsiTheme="minorHAnsi" w:cstheme="minorHAnsi"/>
          <w:bCs/>
          <w:color w:val="auto"/>
          <w:sz w:val="22"/>
          <w:szCs w:val="22"/>
        </w:rPr>
        <w:t>This details</w:t>
      </w:r>
      <w:r w:rsidRPr="004D6E73">
        <w:rPr>
          <w:rFonts w:asciiTheme="minorHAnsi" w:hAnsiTheme="minorHAnsi" w:cstheme="minorHAnsi"/>
          <w:color w:val="auto"/>
          <w:sz w:val="22"/>
          <w:szCs w:val="22"/>
        </w:rPr>
        <w:t xml:space="preserve"> the key</w:t>
      </w:r>
      <w:r w:rsidRPr="004D6E73">
        <w:rPr>
          <w:rFonts w:asciiTheme="minorHAnsi" w:hAnsiTheme="minorHAnsi" w:cstheme="minorHAnsi"/>
          <w:bCs/>
          <w:color w:val="auto"/>
          <w:sz w:val="22"/>
          <w:szCs w:val="22"/>
        </w:rPr>
        <w:t xml:space="preserve"> </w:t>
      </w:r>
      <w:r w:rsidRPr="004D6E73">
        <w:rPr>
          <w:rFonts w:asciiTheme="minorHAnsi" w:hAnsiTheme="minorHAnsi" w:cstheme="minorHAnsi"/>
          <w:color w:val="auto"/>
          <w:sz w:val="22"/>
          <w:szCs w:val="22"/>
        </w:rPr>
        <w:t xml:space="preserve">challenges to </w:t>
      </w:r>
      <w:r w:rsidRPr="004D6E73">
        <w:rPr>
          <w:rFonts w:asciiTheme="minorHAnsi" w:hAnsiTheme="minorHAnsi" w:cstheme="minorHAnsi"/>
          <w:bCs/>
          <w:color w:val="auto"/>
          <w:sz w:val="22"/>
          <w:szCs w:val="22"/>
        </w:rPr>
        <w:t>achievement that we have</w:t>
      </w:r>
      <w:r w:rsidRPr="004D6E73">
        <w:rPr>
          <w:rFonts w:asciiTheme="minorHAnsi" w:hAnsiTheme="minorHAnsi" w:cstheme="minorHAnsi"/>
          <w:color w:val="auto"/>
          <w:sz w:val="22"/>
          <w:szCs w:val="22"/>
        </w:rPr>
        <w:t xml:space="preserve"> identified among </w:t>
      </w:r>
      <w:r w:rsidRPr="004D6E73">
        <w:rPr>
          <w:rFonts w:asciiTheme="minorHAnsi" w:hAnsiTheme="minorHAnsi" w:cstheme="minorHAnsi"/>
          <w:bCs/>
          <w:color w:val="auto"/>
          <w:sz w:val="22"/>
          <w:szCs w:val="22"/>
        </w:rPr>
        <w:t>our</w:t>
      </w:r>
      <w:r w:rsidRPr="004D6E73">
        <w:rPr>
          <w:rFonts w:asciiTheme="minorHAnsi" w:hAnsiTheme="minorHAnsi" w:cstheme="minorHAnsi"/>
          <w:color w:val="auto"/>
          <w:sz w:val="22"/>
          <w:szCs w:val="22"/>
        </w:rPr>
        <w:t xml:space="preserve"> disadvantaged pupils.</w:t>
      </w:r>
    </w:p>
    <w:tbl>
      <w:tblPr>
        <w:tblW w:w="5000" w:type="pct"/>
        <w:tblCellMar>
          <w:left w:w="10" w:type="dxa"/>
          <w:right w:w="10" w:type="dxa"/>
        </w:tblCellMar>
        <w:tblLook w:val="04A0" w:firstRow="1" w:lastRow="0" w:firstColumn="1" w:lastColumn="0" w:noHBand="0" w:noVBand="1"/>
      </w:tblPr>
      <w:tblGrid>
        <w:gridCol w:w="1555"/>
        <w:gridCol w:w="7931"/>
      </w:tblGrid>
      <w:tr w:rsidR="00E66558" w:rsidRPr="004D6E73" w14:paraId="2A7D54EF" w14:textId="77777777" w:rsidTr="007320D1">
        <w:tc>
          <w:tcPr>
            <w:tcW w:w="155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Pr="004D6E73" w:rsidRDefault="009D71E8">
            <w:pPr>
              <w:pStyle w:val="TableHeader"/>
              <w:jc w:val="left"/>
              <w:rPr>
                <w:rFonts w:asciiTheme="minorHAnsi" w:hAnsiTheme="minorHAnsi" w:cstheme="minorHAnsi"/>
                <w:sz w:val="22"/>
                <w:szCs w:val="22"/>
              </w:rPr>
            </w:pPr>
            <w:r w:rsidRPr="004D6E73">
              <w:rPr>
                <w:rFonts w:asciiTheme="minorHAnsi" w:hAnsiTheme="minorHAnsi" w:cstheme="minorHAnsi"/>
                <w:sz w:val="22"/>
                <w:szCs w:val="22"/>
              </w:rPr>
              <w:t>Challenge number</w:t>
            </w:r>
          </w:p>
        </w:tc>
        <w:tc>
          <w:tcPr>
            <w:tcW w:w="79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Pr="004D6E73" w:rsidRDefault="009D71E8">
            <w:pPr>
              <w:pStyle w:val="TableHeader"/>
              <w:jc w:val="left"/>
              <w:rPr>
                <w:rFonts w:asciiTheme="minorHAnsi" w:hAnsiTheme="minorHAnsi" w:cstheme="minorHAnsi"/>
                <w:sz w:val="22"/>
                <w:szCs w:val="22"/>
              </w:rPr>
            </w:pPr>
            <w:r w:rsidRPr="004D6E73">
              <w:rPr>
                <w:rFonts w:asciiTheme="minorHAnsi" w:hAnsiTheme="minorHAnsi" w:cstheme="minorHAnsi"/>
                <w:sz w:val="22"/>
                <w:szCs w:val="22"/>
              </w:rPr>
              <w:t xml:space="preserve">Detail of challenge </w:t>
            </w:r>
          </w:p>
        </w:tc>
      </w:tr>
      <w:tr w:rsidR="00E66558" w:rsidRPr="004D6E73" w14:paraId="2A7D54F5" w14:textId="77777777" w:rsidTr="007320D1">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5CB5548C" w:rsidR="00E66558" w:rsidRPr="004D6E73" w:rsidRDefault="000D4202">
            <w:pPr>
              <w:pStyle w:val="TableRow"/>
              <w:rPr>
                <w:rFonts w:asciiTheme="minorHAnsi" w:hAnsiTheme="minorHAnsi" w:cstheme="minorHAnsi"/>
                <w:sz w:val="22"/>
                <w:szCs w:val="22"/>
              </w:rPr>
            </w:pPr>
            <w:r w:rsidRPr="004D6E73">
              <w:rPr>
                <w:rFonts w:asciiTheme="minorHAnsi" w:hAnsiTheme="minorHAnsi" w:cstheme="minorHAnsi"/>
                <w:sz w:val="22"/>
                <w:szCs w:val="22"/>
              </w:rPr>
              <w:t>1</w:t>
            </w:r>
            <w:r w:rsidR="00DE2691" w:rsidRPr="004D6E73">
              <w:rPr>
                <w:rFonts w:asciiTheme="minorHAnsi" w:hAnsiTheme="minorHAnsi" w:cstheme="minorHAnsi"/>
                <w:sz w:val="22"/>
                <w:szCs w:val="22"/>
              </w:rPr>
              <w:t xml:space="preserve"> </w:t>
            </w:r>
          </w:p>
        </w:tc>
        <w:tc>
          <w:tcPr>
            <w:tcW w:w="7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7B1A52EB" w:rsidR="00BC17B2" w:rsidRPr="004D6E73" w:rsidRDefault="00151E34" w:rsidP="007962ED">
            <w:pPr>
              <w:suppressAutoHyphens w:val="0"/>
              <w:autoSpaceDN/>
              <w:spacing w:before="60" w:after="120" w:line="240" w:lineRule="auto"/>
              <w:ind w:left="57" w:right="57"/>
              <w:rPr>
                <w:rFonts w:asciiTheme="minorHAnsi" w:hAnsiTheme="minorHAnsi" w:cstheme="minorHAnsi"/>
                <w:iCs/>
                <w:color w:val="auto"/>
                <w:sz w:val="22"/>
                <w:szCs w:val="22"/>
                <w:lang w:val="en-US"/>
              </w:rPr>
            </w:pPr>
            <w:proofErr w:type="spellStart"/>
            <w:r w:rsidRPr="004D6E73">
              <w:rPr>
                <w:rFonts w:asciiTheme="minorHAnsi" w:hAnsiTheme="minorHAnsi" w:cstheme="minorHAnsi"/>
                <w:iCs/>
                <w:color w:val="auto"/>
                <w:sz w:val="22"/>
                <w:szCs w:val="22"/>
                <w:lang w:val="en-US"/>
              </w:rPr>
              <w:t>Behavioural</w:t>
            </w:r>
            <w:proofErr w:type="spellEnd"/>
            <w:r w:rsidRPr="004D6E73">
              <w:rPr>
                <w:rFonts w:asciiTheme="minorHAnsi" w:hAnsiTheme="minorHAnsi" w:cstheme="minorHAnsi"/>
                <w:iCs/>
                <w:color w:val="auto"/>
                <w:sz w:val="22"/>
                <w:szCs w:val="22"/>
                <w:lang w:val="en-US"/>
              </w:rPr>
              <w:t xml:space="preserve"> habits of students, passive compliance.</w:t>
            </w:r>
          </w:p>
        </w:tc>
      </w:tr>
      <w:tr w:rsidR="00E66558" w:rsidRPr="004D6E73" w14:paraId="2A7D54F8" w14:textId="77777777" w:rsidTr="007320D1">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1F235414" w:rsidR="00E66558" w:rsidRPr="004D6E73" w:rsidRDefault="000D4202">
            <w:pPr>
              <w:pStyle w:val="TableRow"/>
              <w:rPr>
                <w:rFonts w:asciiTheme="minorHAnsi" w:hAnsiTheme="minorHAnsi" w:cstheme="minorHAnsi"/>
                <w:sz w:val="22"/>
                <w:szCs w:val="22"/>
              </w:rPr>
            </w:pPr>
            <w:r w:rsidRPr="004D6E73">
              <w:rPr>
                <w:rFonts w:asciiTheme="minorHAnsi" w:hAnsiTheme="minorHAnsi" w:cstheme="minorHAnsi"/>
                <w:sz w:val="22"/>
                <w:szCs w:val="22"/>
              </w:rPr>
              <w:t>2</w:t>
            </w:r>
          </w:p>
        </w:tc>
        <w:tc>
          <w:tcPr>
            <w:tcW w:w="7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63BD1EDE" w:rsidR="00081E73" w:rsidRPr="004D6E73" w:rsidRDefault="00DE2691" w:rsidP="007320D1">
            <w:pPr>
              <w:suppressAutoHyphens w:val="0"/>
              <w:autoSpaceDN/>
              <w:spacing w:before="60" w:after="120" w:line="240" w:lineRule="auto"/>
              <w:ind w:left="35" w:right="57"/>
              <w:rPr>
                <w:rFonts w:asciiTheme="minorHAnsi" w:hAnsiTheme="minorHAnsi" w:cstheme="minorHAnsi"/>
                <w:color w:val="auto"/>
                <w:sz w:val="22"/>
                <w:szCs w:val="22"/>
              </w:rPr>
            </w:pPr>
            <w:r w:rsidRPr="004D6E73">
              <w:rPr>
                <w:rFonts w:asciiTheme="minorHAnsi" w:hAnsiTheme="minorHAnsi" w:cstheme="minorHAnsi"/>
                <w:color w:val="auto"/>
                <w:sz w:val="22"/>
                <w:szCs w:val="22"/>
              </w:rPr>
              <w:t>Accurate identification of knowledge and skill gaps, and appropriate adaptation of MTS/LTS in all subjects</w:t>
            </w:r>
            <w:r w:rsidR="00233900" w:rsidRPr="004D6E73">
              <w:rPr>
                <w:rFonts w:asciiTheme="minorHAnsi" w:hAnsiTheme="minorHAnsi" w:cstheme="minorHAnsi"/>
                <w:color w:val="auto"/>
                <w:sz w:val="22"/>
                <w:szCs w:val="22"/>
              </w:rPr>
              <w:t>.</w:t>
            </w:r>
          </w:p>
        </w:tc>
      </w:tr>
      <w:tr w:rsidR="00A70A4F" w:rsidRPr="004D6E73" w14:paraId="2A7D54FB" w14:textId="77777777" w:rsidTr="007320D1">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B45C372" w:rsidR="00A70A4F" w:rsidRPr="004D6E73" w:rsidRDefault="000D4202" w:rsidP="00A70A4F">
            <w:pPr>
              <w:pStyle w:val="TableRow"/>
              <w:rPr>
                <w:rFonts w:asciiTheme="minorHAnsi" w:hAnsiTheme="minorHAnsi" w:cstheme="minorHAnsi"/>
                <w:sz w:val="22"/>
                <w:szCs w:val="22"/>
              </w:rPr>
            </w:pPr>
            <w:r w:rsidRPr="004D6E73">
              <w:rPr>
                <w:rFonts w:asciiTheme="minorHAnsi" w:hAnsiTheme="minorHAnsi" w:cstheme="minorHAnsi"/>
                <w:sz w:val="22"/>
                <w:szCs w:val="22"/>
              </w:rPr>
              <w:t>3</w:t>
            </w:r>
          </w:p>
        </w:tc>
        <w:tc>
          <w:tcPr>
            <w:tcW w:w="7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FA" w14:textId="3C7CCB52" w:rsidR="00A10E1E" w:rsidRPr="004D6E73" w:rsidRDefault="00DE2691" w:rsidP="007320D1">
            <w:pPr>
              <w:suppressAutoHyphens w:val="0"/>
              <w:autoSpaceDN/>
              <w:spacing w:before="120" w:after="120" w:line="240" w:lineRule="auto"/>
              <w:ind w:left="35" w:right="57"/>
              <w:rPr>
                <w:rFonts w:asciiTheme="minorHAnsi" w:hAnsiTheme="minorHAnsi" w:cstheme="minorHAnsi"/>
                <w:color w:val="auto"/>
                <w:sz w:val="22"/>
                <w:szCs w:val="22"/>
              </w:rPr>
            </w:pPr>
            <w:r w:rsidRPr="004D6E73">
              <w:rPr>
                <w:rFonts w:asciiTheme="minorHAnsi" w:hAnsiTheme="minorHAnsi" w:cstheme="minorHAnsi"/>
                <w:color w:val="auto"/>
                <w:sz w:val="22"/>
                <w:szCs w:val="22"/>
              </w:rPr>
              <w:t xml:space="preserve">Students may not engage in additional academic interventions. </w:t>
            </w:r>
          </w:p>
        </w:tc>
      </w:tr>
      <w:tr w:rsidR="000D4202" w:rsidRPr="004D6E73" w14:paraId="68EA550E" w14:textId="77777777" w:rsidTr="007320D1">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413FB" w14:textId="3E67EE91" w:rsidR="000D4202" w:rsidRPr="004D6E73" w:rsidRDefault="000D4202" w:rsidP="00A70A4F">
            <w:pPr>
              <w:pStyle w:val="TableRow"/>
              <w:rPr>
                <w:rFonts w:asciiTheme="minorHAnsi" w:hAnsiTheme="minorHAnsi" w:cstheme="minorHAnsi"/>
                <w:sz w:val="22"/>
                <w:szCs w:val="22"/>
              </w:rPr>
            </w:pPr>
            <w:r w:rsidRPr="004D6E73">
              <w:rPr>
                <w:rFonts w:asciiTheme="minorHAnsi" w:hAnsiTheme="minorHAnsi" w:cstheme="minorHAnsi"/>
                <w:sz w:val="22"/>
                <w:szCs w:val="22"/>
              </w:rPr>
              <w:t>4</w:t>
            </w:r>
          </w:p>
        </w:tc>
        <w:tc>
          <w:tcPr>
            <w:tcW w:w="7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DF631E" w14:textId="244539A9" w:rsidR="000D4202" w:rsidRPr="004D6E73" w:rsidRDefault="00CE4CDC" w:rsidP="007320D1">
            <w:pPr>
              <w:suppressAutoHyphens w:val="0"/>
              <w:autoSpaceDN/>
              <w:spacing w:before="60" w:after="120" w:line="240" w:lineRule="auto"/>
              <w:ind w:left="35" w:right="57"/>
              <w:rPr>
                <w:rFonts w:asciiTheme="minorHAnsi" w:hAnsiTheme="minorHAnsi" w:cstheme="minorHAnsi"/>
                <w:iCs/>
                <w:color w:val="auto"/>
                <w:sz w:val="22"/>
                <w:szCs w:val="22"/>
              </w:rPr>
            </w:pPr>
            <w:r w:rsidRPr="004D6E73">
              <w:rPr>
                <w:rFonts w:asciiTheme="minorHAnsi" w:hAnsiTheme="minorHAnsi" w:cstheme="minorHAnsi"/>
                <w:iCs/>
                <w:color w:val="auto"/>
                <w:sz w:val="22"/>
                <w:szCs w:val="22"/>
                <w:lang w:val="en-US"/>
              </w:rPr>
              <w:t>Staffing considerations need to be made to ensure appropriate staff are available for targeted intervention strategies.</w:t>
            </w:r>
          </w:p>
        </w:tc>
      </w:tr>
      <w:tr w:rsidR="00A70A4F" w:rsidRPr="004D6E73" w14:paraId="2A7D54FE" w14:textId="77777777" w:rsidTr="007320D1">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A70A4F" w:rsidRPr="004D6E73" w:rsidRDefault="00A70A4F" w:rsidP="00A70A4F">
            <w:pPr>
              <w:pStyle w:val="TableRow"/>
              <w:rPr>
                <w:rFonts w:asciiTheme="minorHAnsi" w:hAnsiTheme="minorHAnsi" w:cstheme="minorHAnsi"/>
                <w:sz w:val="22"/>
                <w:szCs w:val="22"/>
              </w:rPr>
            </w:pPr>
            <w:r w:rsidRPr="004D6E73">
              <w:rPr>
                <w:rFonts w:asciiTheme="minorHAnsi" w:hAnsiTheme="minorHAnsi" w:cstheme="minorHAnsi"/>
                <w:sz w:val="22"/>
                <w:szCs w:val="22"/>
              </w:rPr>
              <w:t>5</w:t>
            </w:r>
          </w:p>
        </w:tc>
        <w:tc>
          <w:tcPr>
            <w:tcW w:w="7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118125CB" w:rsidR="00BC7487" w:rsidRPr="004D6E73" w:rsidRDefault="00233900" w:rsidP="007320D1">
            <w:pPr>
              <w:suppressAutoHyphens w:val="0"/>
              <w:autoSpaceDN/>
              <w:spacing w:before="60" w:after="120" w:line="240" w:lineRule="auto"/>
              <w:ind w:left="35" w:right="57"/>
              <w:rPr>
                <w:rFonts w:asciiTheme="minorHAnsi" w:hAnsiTheme="minorHAnsi" w:cstheme="minorHAnsi"/>
                <w:iCs/>
                <w:color w:val="auto"/>
                <w:sz w:val="22"/>
                <w:szCs w:val="22"/>
                <w:lang w:val="en-US"/>
              </w:rPr>
            </w:pPr>
            <w:r w:rsidRPr="004D6E73">
              <w:rPr>
                <w:rFonts w:asciiTheme="minorHAnsi" w:hAnsiTheme="minorHAnsi" w:cstheme="minorHAnsi"/>
                <w:iCs/>
                <w:color w:val="auto"/>
                <w:sz w:val="22"/>
                <w:szCs w:val="22"/>
                <w:lang w:val="en-US"/>
              </w:rPr>
              <w:t xml:space="preserve">PSHE Priorities may change throughout the year based on internal and external patterns of </w:t>
            </w:r>
            <w:proofErr w:type="spellStart"/>
            <w:r w:rsidRPr="004D6E73">
              <w:rPr>
                <w:rFonts w:asciiTheme="minorHAnsi" w:hAnsiTheme="minorHAnsi" w:cstheme="minorHAnsi"/>
                <w:iCs/>
                <w:color w:val="auto"/>
                <w:sz w:val="22"/>
                <w:szCs w:val="22"/>
                <w:lang w:val="en-US"/>
              </w:rPr>
              <w:t>behaviour</w:t>
            </w:r>
            <w:proofErr w:type="spellEnd"/>
            <w:r w:rsidRPr="004D6E73">
              <w:rPr>
                <w:rFonts w:asciiTheme="minorHAnsi" w:hAnsiTheme="minorHAnsi" w:cstheme="minorHAnsi"/>
                <w:iCs/>
                <w:color w:val="auto"/>
                <w:sz w:val="22"/>
                <w:szCs w:val="22"/>
                <w:lang w:val="en-US"/>
              </w:rPr>
              <w:t>.</w:t>
            </w:r>
          </w:p>
        </w:tc>
      </w:tr>
      <w:tr w:rsidR="00B87E35" w:rsidRPr="004D6E73" w14:paraId="2744420E" w14:textId="77777777" w:rsidTr="007320D1">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8D33A" w14:textId="23E85B51" w:rsidR="00B87E35" w:rsidRPr="004D6E73" w:rsidRDefault="00B87E35" w:rsidP="00790F6C">
            <w:pPr>
              <w:pStyle w:val="TableRow"/>
              <w:rPr>
                <w:rFonts w:asciiTheme="minorHAnsi" w:hAnsiTheme="minorHAnsi" w:cstheme="minorHAnsi"/>
                <w:sz w:val="22"/>
                <w:szCs w:val="22"/>
              </w:rPr>
            </w:pPr>
            <w:bookmarkStart w:id="17" w:name="_Toc443397160"/>
            <w:r w:rsidRPr="004D6E73">
              <w:rPr>
                <w:rFonts w:asciiTheme="minorHAnsi" w:hAnsiTheme="minorHAnsi" w:cstheme="minorHAnsi"/>
                <w:sz w:val="22"/>
                <w:szCs w:val="22"/>
              </w:rPr>
              <w:t>6</w:t>
            </w:r>
          </w:p>
        </w:tc>
        <w:tc>
          <w:tcPr>
            <w:tcW w:w="7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709EB" w14:textId="028D8943" w:rsidR="00B87E35" w:rsidRPr="004D6E73" w:rsidRDefault="00233900" w:rsidP="00C0515F">
            <w:pPr>
              <w:suppressAutoHyphens w:val="0"/>
              <w:autoSpaceDN/>
              <w:spacing w:before="60" w:after="120" w:line="240" w:lineRule="auto"/>
              <w:ind w:left="57" w:right="57"/>
              <w:rPr>
                <w:rFonts w:asciiTheme="minorHAnsi" w:hAnsiTheme="minorHAnsi" w:cstheme="minorHAnsi"/>
                <w:iCs/>
                <w:color w:val="auto"/>
                <w:sz w:val="22"/>
                <w:szCs w:val="22"/>
                <w:lang w:val="en-US"/>
              </w:rPr>
            </w:pPr>
            <w:r w:rsidRPr="004D6E73">
              <w:rPr>
                <w:rFonts w:asciiTheme="minorHAnsi" w:hAnsiTheme="minorHAnsi" w:cstheme="minorHAnsi"/>
                <w:iCs/>
                <w:color w:val="auto"/>
                <w:sz w:val="22"/>
                <w:szCs w:val="22"/>
                <w:lang w:val="en-US"/>
              </w:rPr>
              <w:t>Support from external sources may not be able to provide the levels of support required by our students.</w:t>
            </w:r>
          </w:p>
        </w:tc>
      </w:tr>
      <w:tr w:rsidR="00151E34" w:rsidRPr="004D6E73" w14:paraId="5252A43B" w14:textId="77777777" w:rsidTr="007320D1">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958CF" w14:textId="47733FF4" w:rsidR="00151E34" w:rsidRPr="004D6E73" w:rsidRDefault="00151E34" w:rsidP="00790F6C">
            <w:pPr>
              <w:pStyle w:val="TableRow"/>
              <w:rPr>
                <w:rFonts w:asciiTheme="minorHAnsi" w:hAnsiTheme="minorHAnsi" w:cstheme="minorHAnsi"/>
                <w:sz w:val="22"/>
                <w:szCs w:val="22"/>
              </w:rPr>
            </w:pPr>
            <w:r w:rsidRPr="004D6E73">
              <w:rPr>
                <w:rFonts w:asciiTheme="minorHAnsi" w:hAnsiTheme="minorHAnsi" w:cstheme="minorHAnsi"/>
                <w:sz w:val="22"/>
                <w:szCs w:val="22"/>
              </w:rPr>
              <w:t>7</w:t>
            </w:r>
          </w:p>
        </w:tc>
        <w:tc>
          <w:tcPr>
            <w:tcW w:w="7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0C92E" w14:textId="1525BC43" w:rsidR="00151E34" w:rsidRPr="004D6E73" w:rsidRDefault="00151E34" w:rsidP="00C0515F">
            <w:pPr>
              <w:suppressAutoHyphens w:val="0"/>
              <w:autoSpaceDN/>
              <w:spacing w:before="60" w:after="120" w:line="240" w:lineRule="auto"/>
              <w:ind w:left="57" w:right="57"/>
              <w:rPr>
                <w:rFonts w:asciiTheme="minorHAnsi" w:hAnsiTheme="minorHAnsi" w:cstheme="minorHAnsi"/>
                <w:iCs/>
                <w:color w:val="auto"/>
                <w:sz w:val="22"/>
                <w:szCs w:val="22"/>
                <w:lang w:val="en-US"/>
              </w:rPr>
            </w:pPr>
            <w:r w:rsidRPr="004D6E73">
              <w:rPr>
                <w:rFonts w:asciiTheme="minorHAnsi" w:hAnsiTheme="minorHAnsi" w:cstheme="minorHAnsi"/>
                <w:iCs/>
                <w:color w:val="auto"/>
                <w:sz w:val="22"/>
                <w:szCs w:val="22"/>
                <w:lang w:val="en-US"/>
              </w:rPr>
              <w:t>Attendance o</w:t>
            </w:r>
            <w:r w:rsidR="00AE01E8" w:rsidRPr="004D6E73">
              <w:rPr>
                <w:rFonts w:asciiTheme="minorHAnsi" w:hAnsiTheme="minorHAnsi" w:cstheme="minorHAnsi"/>
                <w:iCs/>
                <w:color w:val="auto"/>
                <w:sz w:val="22"/>
                <w:szCs w:val="22"/>
                <w:lang w:val="en-US"/>
              </w:rPr>
              <w:t>f</w:t>
            </w:r>
            <w:r w:rsidRPr="004D6E73">
              <w:rPr>
                <w:rFonts w:asciiTheme="minorHAnsi" w:hAnsiTheme="minorHAnsi" w:cstheme="minorHAnsi"/>
                <w:iCs/>
                <w:color w:val="auto"/>
                <w:sz w:val="22"/>
                <w:szCs w:val="22"/>
                <w:lang w:val="en-US"/>
              </w:rPr>
              <w:t xml:space="preserve"> disadvantaged students is lower than that of non-disadvantaged peers</w:t>
            </w:r>
          </w:p>
        </w:tc>
      </w:tr>
    </w:tbl>
    <w:p w14:paraId="3C1DCDAE" w14:textId="77777777" w:rsidR="004D6E73" w:rsidRDefault="004D6E73">
      <w:pPr>
        <w:pStyle w:val="Heading2"/>
        <w:spacing w:before="600"/>
        <w:rPr>
          <w:rFonts w:asciiTheme="minorHAnsi" w:hAnsiTheme="minorHAnsi" w:cstheme="minorHAnsi"/>
          <w:sz w:val="22"/>
          <w:szCs w:val="22"/>
        </w:rPr>
      </w:pPr>
    </w:p>
    <w:p w14:paraId="2A7D54FF" w14:textId="1B6CE870" w:rsidR="00E66558" w:rsidRPr="004D6E73" w:rsidRDefault="009D71E8">
      <w:pPr>
        <w:pStyle w:val="Heading2"/>
        <w:spacing w:before="600"/>
        <w:rPr>
          <w:rFonts w:asciiTheme="minorHAnsi" w:hAnsiTheme="minorHAnsi" w:cstheme="minorHAnsi"/>
          <w:sz w:val="22"/>
          <w:szCs w:val="22"/>
        </w:rPr>
      </w:pPr>
      <w:r w:rsidRPr="004D6E73">
        <w:rPr>
          <w:rFonts w:asciiTheme="minorHAnsi" w:hAnsiTheme="minorHAnsi" w:cstheme="minorHAnsi"/>
          <w:sz w:val="22"/>
          <w:szCs w:val="22"/>
        </w:rPr>
        <w:t xml:space="preserve">Intended outcomes </w:t>
      </w:r>
    </w:p>
    <w:p w14:paraId="2A7D5500" w14:textId="77777777" w:rsidR="00E66558" w:rsidRPr="004D6E73" w:rsidRDefault="009D71E8">
      <w:pPr>
        <w:rPr>
          <w:rFonts w:asciiTheme="minorHAnsi" w:hAnsiTheme="minorHAnsi" w:cstheme="minorHAnsi"/>
          <w:sz w:val="22"/>
          <w:szCs w:val="22"/>
        </w:rPr>
      </w:pPr>
      <w:r w:rsidRPr="004D6E73">
        <w:rPr>
          <w:rFonts w:asciiTheme="minorHAnsi" w:hAnsiTheme="minorHAnsi" w:cstheme="minorHAnsi"/>
          <w:color w:val="auto"/>
          <w:sz w:val="22"/>
          <w:szCs w:val="22"/>
        </w:rPr>
        <w:t xml:space="preserve">This explains the outcomes we are aiming for </w:t>
      </w:r>
      <w:r w:rsidRPr="004D6E73">
        <w:rPr>
          <w:rFonts w:asciiTheme="minorHAnsi" w:hAnsiTheme="minorHAnsi" w:cstheme="minorHAnsi"/>
          <w:b/>
          <w:bCs/>
          <w:color w:val="auto"/>
          <w:sz w:val="22"/>
          <w:szCs w:val="22"/>
        </w:rPr>
        <w:t>by the end of our current strategy plan</w:t>
      </w:r>
      <w:r w:rsidRPr="004D6E73">
        <w:rPr>
          <w:rFonts w:asciiTheme="minorHAnsi" w:hAnsiTheme="minorHAnsi" w:cstheme="minorHAnsi"/>
          <w:color w:val="auto"/>
          <w:sz w:val="22"/>
          <w:szCs w:val="22"/>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2689"/>
        <w:gridCol w:w="6797"/>
      </w:tblGrid>
      <w:tr w:rsidR="00E66558" w:rsidRPr="004D6E73" w14:paraId="2A7D5503" w14:textId="77777777" w:rsidTr="000E309A">
        <w:tc>
          <w:tcPr>
            <w:tcW w:w="268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Pr="004D6E73" w:rsidRDefault="009D71E8">
            <w:pPr>
              <w:pStyle w:val="TableHeader"/>
              <w:jc w:val="left"/>
              <w:rPr>
                <w:rFonts w:asciiTheme="minorHAnsi" w:hAnsiTheme="minorHAnsi" w:cstheme="minorHAnsi"/>
                <w:sz w:val="22"/>
                <w:szCs w:val="22"/>
              </w:rPr>
            </w:pPr>
            <w:bookmarkStart w:id="18" w:name="_Hlk116412407"/>
            <w:r w:rsidRPr="004D6E73">
              <w:rPr>
                <w:rFonts w:asciiTheme="minorHAnsi" w:hAnsiTheme="minorHAnsi" w:cstheme="minorHAnsi"/>
                <w:sz w:val="22"/>
                <w:szCs w:val="22"/>
              </w:rPr>
              <w:t>Intended outcome</w:t>
            </w:r>
          </w:p>
        </w:tc>
        <w:tc>
          <w:tcPr>
            <w:tcW w:w="679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Pr="004D6E73" w:rsidRDefault="009D71E8">
            <w:pPr>
              <w:pStyle w:val="TableHeader"/>
              <w:jc w:val="left"/>
              <w:rPr>
                <w:rFonts w:asciiTheme="minorHAnsi" w:hAnsiTheme="minorHAnsi" w:cstheme="minorHAnsi"/>
                <w:sz w:val="22"/>
                <w:szCs w:val="22"/>
              </w:rPr>
            </w:pPr>
            <w:r w:rsidRPr="004D6E73">
              <w:rPr>
                <w:rFonts w:asciiTheme="minorHAnsi" w:hAnsiTheme="minorHAnsi" w:cstheme="minorHAnsi"/>
                <w:sz w:val="22"/>
                <w:szCs w:val="22"/>
              </w:rPr>
              <w:t>Success criteria</w:t>
            </w:r>
          </w:p>
        </w:tc>
      </w:tr>
      <w:tr w:rsidR="00E66558" w:rsidRPr="004D6E73" w14:paraId="2A7D5506" w14:textId="77777777" w:rsidTr="000E309A">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7294340B" w:rsidR="001071BE" w:rsidRPr="004D6E73" w:rsidRDefault="00DE2691" w:rsidP="00233900">
            <w:pPr>
              <w:pStyle w:val="TableRow"/>
              <w:spacing w:after="120"/>
              <w:ind w:left="0"/>
              <w:rPr>
                <w:rFonts w:asciiTheme="minorHAnsi" w:hAnsiTheme="minorHAnsi" w:cstheme="minorHAnsi"/>
                <w:iCs/>
                <w:color w:val="auto"/>
                <w:sz w:val="22"/>
                <w:szCs w:val="22"/>
              </w:rPr>
            </w:pPr>
            <w:r w:rsidRPr="004D6E73">
              <w:rPr>
                <w:rFonts w:asciiTheme="minorHAnsi" w:hAnsiTheme="minorHAnsi" w:cstheme="minorHAnsi"/>
                <w:iCs/>
                <w:color w:val="auto"/>
                <w:sz w:val="22"/>
                <w:szCs w:val="22"/>
              </w:rPr>
              <w:t>Progress 8</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36919802" w:rsidR="00FA25F3" w:rsidRPr="004D6E73" w:rsidRDefault="00233900" w:rsidP="00233900">
            <w:pPr>
              <w:suppressAutoHyphens w:val="0"/>
              <w:autoSpaceDN/>
              <w:spacing w:before="60" w:after="120" w:line="240" w:lineRule="auto"/>
              <w:ind w:right="57"/>
              <w:rPr>
                <w:rFonts w:asciiTheme="minorHAnsi" w:hAnsiTheme="minorHAnsi" w:cstheme="minorHAnsi"/>
                <w:color w:val="auto"/>
                <w:sz w:val="22"/>
                <w:szCs w:val="22"/>
              </w:rPr>
            </w:pPr>
            <w:r w:rsidRPr="004D6E73">
              <w:rPr>
                <w:rFonts w:asciiTheme="minorHAnsi" w:hAnsiTheme="minorHAnsi" w:cstheme="minorHAnsi"/>
                <w:color w:val="auto"/>
                <w:sz w:val="22"/>
                <w:szCs w:val="22"/>
              </w:rPr>
              <w:t>Achieve the top quartile of national progress figures for disadvantaged students</w:t>
            </w:r>
          </w:p>
        </w:tc>
      </w:tr>
      <w:tr w:rsidR="00E66558" w:rsidRPr="004D6E73" w14:paraId="2A7D550C" w14:textId="77777777" w:rsidTr="00EC4B9E">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64C8BD9C" w:rsidR="00E66558" w:rsidRPr="004D6E73" w:rsidRDefault="00DE2691" w:rsidP="007F46FE">
            <w:pPr>
              <w:pStyle w:val="TableRow"/>
              <w:spacing w:after="120"/>
              <w:ind w:left="0"/>
              <w:rPr>
                <w:rFonts w:asciiTheme="minorHAnsi" w:hAnsiTheme="minorHAnsi" w:cstheme="minorHAnsi"/>
                <w:color w:val="auto"/>
                <w:sz w:val="22"/>
                <w:szCs w:val="22"/>
              </w:rPr>
            </w:pPr>
            <w:r w:rsidRPr="004D6E73">
              <w:rPr>
                <w:rFonts w:asciiTheme="minorHAnsi" w:hAnsiTheme="minorHAnsi" w:cstheme="minorHAnsi"/>
                <w:color w:val="auto"/>
                <w:sz w:val="22"/>
                <w:szCs w:val="22"/>
              </w:rPr>
              <w:t>Attainment 8</w:t>
            </w:r>
            <w:r w:rsidR="00233900" w:rsidRPr="004D6E73">
              <w:rPr>
                <w:rFonts w:asciiTheme="minorHAnsi" w:hAnsiTheme="minorHAnsi" w:cstheme="minorHAnsi"/>
                <w:color w:val="auto"/>
                <w:sz w:val="22"/>
                <w:szCs w:val="22"/>
              </w:rPr>
              <w:t xml:space="preserve"> </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18364A34" w:rsidR="00C33223" w:rsidRPr="004D6E73" w:rsidRDefault="00233900" w:rsidP="00DB4EDB">
            <w:pPr>
              <w:suppressAutoHyphens w:val="0"/>
              <w:autoSpaceDN/>
              <w:spacing w:before="60" w:after="120" w:line="240" w:lineRule="auto"/>
              <w:ind w:left="29" w:right="57"/>
              <w:rPr>
                <w:rFonts w:asciiTheme="minorHAnsi" w:hAnsiTheme="minorHAnsi" w:cstheme="minorHAnsi"/>
                <w:color w:val="auto"/>
                <w:sz w:val="22"/>
                <w:szCs w:val="22"/>
              </w:rPr>
            </w:pPr>
            <w:r w:rsidRPr="004D6E73">
              <w:rPr>
                <w:rFonts w:asciiTheme="minorHAnsi" w:hAnsiTheme="minorHAnsi" w:cstheme="minorHAnsi"/>
                <w:color w:val="auto"/>
                <w:sz w:val="22"/>
                <w:szCs w:val="22"/>
              </w:rPr>
              <w:t>Achieve the top quartile of national figures for disadvantaged students</w:t>
            </w:r>
          </w:p>
        </w:tc>
      </w:tr>
      <w:tr w:rsidR="00227C1A" w:rsidRPr="004D6E73" w14:paraId="0CCD5163" w14:textId="77777777" w:rsidTr="003943EE">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6D632" w14:textId="577F3FF1" w:rsidR="00227C1A" w:rsidRPr="004D6E73" w:rsidRDefault="00233900" w:rsidP="00233900">
            <w:pPr>
              <w:pStyle w:val="TableRow"/>
              <w:spacing w:after="120"/>
              <w:ind w:left="0"/>
              <w:rPr>
                <w:rFonts w:asciiTheme="minorHAnsi" w:hAnsiTheme="minorHAnsi" w:cstheme="minorHAnsi"/>
                <w:color w:val="auto"/>
                <w:sz w:val="22"/>
                <w:szCs w:val="22"/>
              </w:rPr>
            </w:pPr>
            <w:r w:rsidRPr="004D6E73">
              <w:rPr>
                <w:rFonts w:asciiTheme="minorHAnsi" w:hAnsiTheme="minorHAnsi" w:cstheme="minorHAnsi"/>
                <w:color w:val="auto"/>
                <w:sz w:val="22"/>
                <w:szCs w:val="22"/>
              </w:rPr>
              <w:t>Percentage grade 5+ in English and Maths</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42B48" w14:textId="3B533B20" w:rsidR="00227C1A" w:rsidRPr="004D6E73" w:rsidRDefault="00233900" w:rsidP="00DB4EDB">
            <w:pPr>
              <w:suppressAutoHyphens w:val="0"/>
              <w:autoSpaceDN/>
              <w:spacing w:before="60" w:after="120" w:line="240" w:lineRule="auto"/>
              <w:ind w:left="29" w:right="57"/>
              <w:rPr>
                <w:rFonts w:asciiTheme="minorHAnsi" w:hAnsiTheme="minorHAnsi" w:cstheme="minorHAnsi"/>
                <w:color w:val="auto"/>
                <w:sz w:val="22"/>
                <w:szCs w:val="22"/>
              </w:rPr>
            </w:pPr>
            <w:r w:rsidRPr="004D6E73">
              <w:rPr>
                <w:rFonts w:asciiTheme="minorHAnsi" w:hAnsiTheme="minorHAnsi" w:cstheme="minorHAnsi"/>
                <w:color w:val="auto"/>
                <w:sz w:val="22"/>
                <w:szCs w:val="22"/>
              </w:rPr>
              <w:t>Achieve above the national figure for disadvantaged students.</w:t>
            </w:r>
          </w:p>
        </w:tc>
      </w:tr>
      <w:tr w:rsidR="008814DF" w:rsidRPr="004D6E73" w14:paraId="484F6104" w14:textId="77777777" w:rsidTr="00EC4B9E">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35101" w14:textId="56EE0111" w:rsidR="00B40402" w:rsidRPr="004D6E73" w:rsidRDefault="00DE2691" w:rsidP="005758A1">
            <w:pPr>
              <w:pStyle w:val="TableRow"/>
              <w:spacing w:after="120"/>
              <w:rPr>
                <w:rFonts w:asciiTheme="minorHAnsi" w:hAnsiTheme="minorHAnsi" w:cstheme="minorHAnsi"/>
                <w:color w:val="auto"/>
                <w:sz w:val="22"/>
                <w:szCs w:val="22"/>
                <w:highlight w:val="yellow"/>
              </w:rPr>
            </w:pPr>
            <w:r w:rsidRPr="004D6E73">
              <w:rPr>
                <w:rFonts w:asciiTheme="minorHAnsi" w:hAnsiTheme="minorHAnsi" w:cstheme="minorHAnsi"/>
                <w:color w:val="auto"/>
                <w:sz w:val="22"/>
                <w:szCs w:val="22"/>
              </w:rPr>
              <w:t>Other</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75406" w14:textId="47E412C4" w:rsidR="008814DF" w:rsidRPr="004D6E73" w:rsidRDefault="00233900" w:rsidP="00233900">
            <w:pPr>
              <w:suppressAutoHyphens w:val="0"/>
              <w:autoSpaceDN/>
              <w:spacing w:before="60" w:after="120" w:line="240" w:lineRule="auto"/>
              <w:ind w:right="57"/>
              <w:rPr>
                <w:rFonts w:asciiTheme="minorHAnsi" w:hAnsiTheme="minorHAnsi" w:cstheme="minorHAnsi"/>
                <w:color w:val="auto"/>
                <w:sz w:val="22"/>
                <w:szCs w:val="22"/>
              </w:rPr>
            </w:pPr>
            <w:r w:rsidRPr="004D6E73">
              <w:rPr>
                <w:rFonts w:asciiTheme="minorHAnsi" w:hAnsiTheme="minorHAnsi" w:cstheme="minorHAnsi"/>
                <w:color w:val="auto"/>
                <w:sz w:val="22"/>
                <w:szCs w:val="22"/>
              </w:rPr>
              <w:t xml:space="preserve">A higher </w:t>
            </w:r>
            <w:r w:rsidR="003D7E22" w:rsidRPr="004D6E73">
              <w:rPr>
                <w:rFonts w:asciiTheme="minorHAnsi" w:hAnsiTheme="minorHAnsi" w:cstheme="minorHAnsi"/>
                <w:color w:val="auto"/>
                <w:sz w:val="22"/>
                <w:szCs w:val="22"/>
              </w:rPr>
              <w:t xml:space="preserve">percentage </w:t>
            </w:r>
            <w:r w:rsidRPr="004D6E73">
              <w:rPr>
                <w:rFonts w:asciiTheme="minorHAnsi" w:hAnsiTheme="minorHAnsi" w:cstheme="minorHAnsi"/>
                <w:color w:val="auto"/>
                <w:sz w:val="22"/>
                <w:szCs w:val="22"/>
              </w:rPr>
              <w:t xml:space="preserve">attendance to extra-curricular activities </w:t>
            </w:r>
            <w:r w:rsidR="003D7E22" w:rsidRPr="004D6E73">
              <w:rPr>
                <w:rFonts w:asciiTheme="minorHAnsi" w:hAnsiTheme="minorHAnsi" w:cstheme="minorHAnsi"/>
                <w:color w:val="auto"/>
                <w:sz w:val="22"/>
                <w:szCs w:val="22"/>
              </w:rPr>
              <w:t>than non-disadvantaged peers.</w:t>
            </w:r>
          </w:p>
        </w:tc>
      </w:tr>
      <w:tr w:rsidR="00B32FF3" w:rsidRPr="004D6E73" w14:paraId="314F7D2D" w14:textId="77777777" w:rsidTr="00EC4B9E">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DE9CF" w14:textId="48E289BD" w:rsidR="00B32FF3" w:rsidRPr="004D6E73" w:rsidRDefault="00DE2691" w:rsidP="00B32FF3">
            <w:pPr>
              <w:pStyle w:val="TableRow"/>
              <w:spacing w:after="120"/>
              <w:rPr>
                <w:rFonts w:asciiTheme="minorHAnsi" w:hAnsiTheme="minorHAnsi" w:cstheme="minorHAnsi"/>
                <w:color w:val="auto"/>
                <w:sz w:val="22"/>
                <w:szCs w:val="22"/>
              </w:rPr>
            </w:pPr>
            <w:r w:rsidRPr="004D6E73">
              <w:rPr>
                <w:rFonts w:asciiTheme="minorHAnsi" w:hAnsiTheme="minorHAnsi" w:cstheme="minorHAnsi"/>
                <w:color w:val="auto"/>
                <w:sz w:val="22"/>
                <w:szCs w:val="22"/>
              </w:rPr>
              <w:t>EBacc Entry</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F63AC" w14:textId="74EFA578" w:rsidR="00B32FF3" w:rsidRPr="004D6E73" w:rsidRDefault="003D7E22" w:rsidP="003D7E22">
            <w:pPr>
              <w:suppressAutoHyphens w:val="0"/>
              <w:autoSpaceDN/>
              <w:spacing w:before="60" w:after="120" w:line="240" w:lineRule="auto"/>
              <w:ind w:right="57"/>
              <w:rPr>
                <w:rFonts w:asciiTheme="minorHAnsi" w:hAnsiTheme="minorHAnsi" w:cstheme="minorHAnsi"/>
                <w:color w:val="auto"/>
                <w:sz w:val="22"/>
                <w:szCs w:val="22"/>
              </w:rPr>
            </w:pPr>
            <w:r w:rsidRPr="004D6E73">
              <w:rPr>
                <w:rFonts w:asciiTheme="minorHAnsi" w:hAnsiTheme="minorHAnsi" w:cstheme="minorHAnsi"/>
                <w:color w:val="auto"/>
                <w:sz w:val="22"/>
                <w:szCs w:val="22"/>
              </w:rPr>
              <w:t xml:space="preserve">Increase the percentage of students entering the </w:t>
            </w:r>
            <w:proofErr w:type="spellStart"/>
            <w:r w:rsidRPr="004D6E73">
              <w:rPr>
                <w:rFonts w:asciiTheme="minorHAnsi" w:hAnsiTheme="minorHAnsi" w:cstheme="minorHAnsi"/>
                <w:color w:val="auto"/>
                <w:sz w:val="22"/>
                <w:szCs w:val="22"/>
              </w:rPr>
              <w:t>Ebacc</w:t>
            </w:r>
            <w:proofErr w:type="spellEnd"/>
            <w:r w:rsidRPr="004D6E73">
              <w:rPr>
                <w:rFonts w:asciiTheme="minorHAnsi" w:hAnsiTheme="minorHAnsi" w:cstheme="minorHAnsi"/>
                <w:color w:val="auto"/>
                <w:sz w:val="22"/>
                <w:szCs w:val="22"/>
              </w:rPr>
              <w:t xml:space="preserve"> to entry figures in line with those in the local area (20%)</w:t>
            </w:r>
          </w:p>
        </w:tc>
      </w:tr>
      <w:tr w:rsidR="005863F6" w:rsidRPr="004D6E73" w14:paraId="266F4981" w14:textId="77777777" w:rsidTr="00EC4B9E">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86A96" w14:textId="72BDB7C2" w:rsidR="005863F6" w:rsidRPr="004D6E73" w:rsidRDefault="005863F6" w:rsidP="00B32FF3">
            <w:pPr>
              <w:pStyle w:val="TableRow"/>
              <w:spacing w:after="120"/>
              <w:rPr>
                <w:rFonts w:asciiTheme="minorHAnsi" w:hAnsiTheme="minorHAnsi" w:cstheme="minorHAnsi"/>
                <w:color w:val="auto"/>
                <w:sz w:val="22"/>
                <w:szCs w:val="22"/>
              </w:rPr>
            </w:pPr>
            <w:r w:rsidRPr="004D6E73">
              <w:rPr>
                <w:rFonts w:asciiTheme="minorHAnsi" w:hAnsiTheme="minorHAnsi" w:cstheme="minorHAnsi"/>
                <w:color w:val="auto"/>
                <w:sz w:val="22"/>
                <w:szCs w:val="22"/>
              </w:rPr>
              <w:t>Attendance and punctuality</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DEAA2" w14:textId="20E5A873" w:rsidR="005863F6" w:rsidRPr="004D6E73" w:rsidRDefault="005863F6" w:rsidP="003D7E22">
            <w:pPr>
              <w:suppressAutoHyphens w:val="0"/>
              <w:autoSpaceDN/>
              <w:spacing w:before="60" w:after="120" w:line="240" w:lineRule="auto"/>
              <w:ind w:right="57"/>
              <w:rPr>
                <w:rFonts w:asciiTheme="minorHAnsi" w:hAnsiTheme="minorHAnsi" w:cstheme="minorHAnsi"/>
                <w:color w:val="auto"/>
                <w:sz w:val="22"/>
                <w:szCs w:val="22"/>
              </w:rPr>
            </w:pPr>
            <w:r w:rsidRPr="004D6E73">
              <w:rPr>
                <w:rFonts w:asciiTheme="minorHAnsi" w:hAnsiTheme="minorHAnsi" w:cstheme="minorHAnsi"/>
                <w:color w:val="auto"/>
                <w:sz w:val="22"/>
                <w:szCs w:val="22"/>
              </w:rPr>
              <w:t>The gap in absence and persistent absence will decrease</w:t>
            </w:r>
            <w:r w:rsidR="00FD3ED3" w:rsidRPr="004D6E73">
              <w:rPr>
                <w:rFonts w:asciiTheme="minorHAnsi" w:hAnsiTheme="minorHAnsi" w:cstheme="minorHAnsi"/>
                <w:color w:val="auto"/>
                <w:sz w:val="22"/>
                <w:szCs w:val="22"/>
              </w:rPr>
              <w:t xml:space="preserve"> between disadvantaged and non-disadvantaged students.</w:t>
            </w:r>
          </w:p>
        </w:tc>
      </w:tr>
      <w:bookmarkEnd w:id="18"/>
    </w:tbl>
    <w:p w14:paraId="2A06959E" w14:textId="5E686081" w:rsidR="00120AB1" w:rsidRPr="004D6E73" w:rsidRDefault="00120AB1">
      <w:pPr>
        <w:suppressAutoHyphens w:val="0"/>
        <w:spacing w:after="0" w:line="240" w:lineRule="auto"/>
        <w:rPr>
          <w:rFonts w:asciiTheme="minorHAnsi" w:hAnsiTheme="minorHAnsi" w:cstheme="minorHAnsi"/>
          <w:b/>
          <w:color w:val="104F75"/>
          <w:sz w:val="22"/>
          <w:szCs w:val="22"/>
        </w:rPr>
      </w:pPr>
    </w:p>
    <w:p w14:paraId="2A7D5512" w14:textId="7B489199" w:rsidR="00E66558" w:rsidRPr="004D6E73" w:rsidRDefault="009D71E8">
      <w:pPr>
        <w:pStyle w:val="Heading2"/>
        <w:rPr>
          <w:rFonts w:asciiTheme="minorHAnsi" w:hAnsiTheme="minorHAnsi" w:cstheme="minorHAnsi"/>
          <w:sz w:val="22"/>
          <w:szCs w:val="22"/>
        </w:rPr>
      </w:pPr>
      <w:r w:rsidRPr="004D6E73">
        <w:rPr>
          <w:rFonts w:asciiTheme="minorHAnsi" w:hAnsiTheme="minorHAnsi" w:cstheme="minorHAnsi"/>
          <w:sz w:val="22"/>
          <w:szCs w:val="22"/>
        </w:rPr>
        <w:t>Activity in this academic year</w:t>
      </w:r>
    </w:p>
    <w:p w14:paraId="2A7D5513" w14:textId="77777777" w:rsidR="00E66558" w:rsidRPr="004D6E73" w:rsidRDefault="009D71E8">
      <w:pPr>
        <w:spacing w:after="480"/>
        <w:rPr>
          <w:rFonts w:asciiTheme="minorHAnsi" w:hAnsiTheme="minorHAnsi" w:cstheme="minorHAnsi"/>
          <w:sz w:val="22"/>
          <w:szCs w:val="22"/>
        </w:rPr>
      </w:pPr>
      <w:r w:rsidRPr="004D6E73">
        <w:rPr>
          <w:rFonts w:asciiTheme="minorHAnsi" w:hAnsiTheme="minorHAnsi" w:cstheme="minorHAnsi"/>
          <w:sz w:val="22"/>
          <w:szCs w:val="22"/>
        </w:rPr>
        <w:t xml:space="preserve">This details how we intend to spend our pupil premium (and recovery premium funding) </w:t>
      </w:r>
      <w:r w:rsidRPr="004D6E73">
        <w:rPr>
          <w:rFonts w:asciiTheme="minorHAnsi" w:hAnsiTheme="minorHAnsi" w:cstheme="minorHAnsi"/>
          <w:b/>
          <w:bCs/>
          <w:sz w:val="22"/>
          <w:szCs w:val="22"/>
        </w:rPr>
        <w:t>this academic year</w:t>
      </w:r>
      <w:r w:rsidRPr="004D6E73">
        <w:rPr>
          <w:rFonts w:asciiTheme="minorHAnsi" w:hAnsiTheme="minorHAnsi" w:cstheme="minorHAnsi"/>
          <w:sz w:val="22"/>
          <w:szCs w:val="22"/>
        </w:rPr>
        <w:t xml:space="preserve"> to address the challenges listed above.</w:t>
      </w:r>
    </w:p>
    <w:p w14:paraId="2A7D5514" w14:textId="77777777" w:rsidR="00E66558" w:rsidRPr="004D6E73" w:rsidRDefault="009D71E8" w:rsidP="00324F1B">
      <w:pPr>
        <w:pStyle w:val="Heading3"/>
        <w:spacing w:before="480"/>
        <w:rPr>
          <w:rFonts w:asciiTheme="minorHAnsi" w:hAnsiTheme="minorHAnsi" w:cstheme="minorHAnsi"/>
          <w:sz w:val="22"/>
          <w:szCs w:val="22"/>
        </w:rPr>
      </w:pPr>
      <w:bookmarkStart w:id="19" w:name="_Hlk116412377"/>
      <w:r w:rsidRPr="004D6E73">
        <w:rPr>
          <w:rFonts w:asciiTheme="minorHAnsi" w:hAnsiTheme="minorHAnsi" w:cstheme="minorHAnsi"/>
          <w:sz w:val="22"/>
          <w:szCs w:val="22"/>
        </w:rPr>
        <w:t>Teaching (for example, CPD, recruitment and retention)</w:t>
      </w:r>
    </w:p>
    <w:p w14:paraId="2A7D5515" w14:textId="66CE2215" w:rsidR="00E66558" w:rsidRPr="004D6E73" w:rsidRDefault="009D71E8">
      <w:pPr>
        <w:rPr>
          <w:rFonts w:asciiTheme="minorHAnsi" w:hAnsiTheme="minorHAnsi" w:cstheme="minorHAnsi"/>
          <w:sz w:val="22"/>
          <w:szCs w:val="22"/>
        </w:rPr>
      </w:pPr>
      <w:r w:rsidRPr="004D6E73">
        <w:rPr>
          <w:rFonts w:asciiTheme="minorHAnsi" w:hAnsiTheme="minorHAnsi" w:cstheme="minorHAnsi"/>
          <w:sz w:val="22"/>
          <w:szCs w:val="22"/>
        </w:rPr>
        <w:t xml:space="preserve">Budgeted cost: </w:t>
      </w:r>
      <w:r w:rsidR="00A2550B" w:rsidRPr="004D6E73">
        <w:rPr>
          <w:rFonts w:asciiTheme="minorHAnsi" w:hAnsiTheme="minorHAnsi" w:cstheme="minorHAnsi"/>
          <w:sz w:val="22"/>
          <w:szCs w:val="22"/>
        </w:rPr>
        <w:t>£</w:t>
      </w:r>
      <w:r w:rsidR="00C07AC7" w:rsidRPr="004D6E73">
        <w:rPr>
          <w:rFonts w:asciiTheme="minorHAnsi" w:hAnsiTheme="minorHAnsi" w:cstheme="minorHAnsi"/>
          <w:sz w:val="22"/>
          <w:szCs w:val="22"/>
        </w:rPr>
        <w:t xml:space="preserve"> </w:t>
      </w:r>
      <w:r w:rsidR="003D3597">
        <w:rPr>
          <w:rFonts w:asciiTheme="minorHAnsi" w:hAnsiTheme="minorHAnsi" w:cstheme="minorHAnsi"/>
          <w:sz w:val="22"/>
          <w:szCs w:val="22"/>
        </w:rPr>
        <w:t>26000</w:t>
      </w:r>
    </w:p>
    <w:tbl>
      <w:tblPr>
        <w:tblW w:w="5000" w:type="pct"/>
        <w:tblLayout w:type="fixed"/>
        <w:tblCellMar>
          <w:left w:w="10" w:type="dxa"/>
          <w:right w:w="10" w:type="dxa"/>
        </w:tblCellMar>
        <w:tblLook w:val="04A0" w:firstRow="1" w:lastRow="0" w:firstColumn="1" w:lastColumn="0" w:noHBand="0" w:noVBand="1"/>
      </w:tblPr>
      <w:tblGrid>
        <w:gridCol w:w="3539"/>
        <w:gridCol w:w="4253"/>
        <w:gridCol w:w="1694"/>
      </w:tblGrid>
      <w:tr w:rsidR="00E66558" w:rsidRPr="004D6E73" w14:paraId="2A7D5519" w14:textId="77777777" w:rsidTr="00D10869">
        <w:tc>
          <w:tcPr>
            <w:tcW w:w="353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4D6E73" w:rsidRDefault="009D71E8">
            <w:pPr>
              <w:pStyle w:val="TableHeader"/>
              <w:jc w:val="left"/>
              <w:rPr>
                <w:rFonts w:asciiTheme="minorHAnsi" w:hAnsiTheme="minorHAnsi" w:cstheme="minorHAnsi"/>
                <w:sz w:val="22"/>
                <w:szCs w:val="22"/>
              </w:rPr>
            </w:pPr>
            <w:r w:rsidRPr="004D6E73">
              <w:rPr>
                <w:rFonts w:asciiTheme="minorHAnsi" w:hAnsiTheme="minorHAnsi" w:cstheme="minorHAnsi"/>
                <w:sz w:val="22"/>
                <w:szCs w:val="22"/>
              </w:rPr>
              <w:t>Activity</w:t>
            </w:r>
          </w:p>
        </w:tc>
        <w:tc>
          <w:tcPr>
            <w:tcW w:w="42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Pr="004D6E73" w:rsidRDefault="009D71E8">
            <w:pPr>
              <w:pStyle w:val="TableHeader"/>
              <w:jc w:val="left"/>
              <w:rPr>
                <w:rFonts w:asciiTheme="minorHAnsi" w:hAnsiTheme="minorHAnsi" w:cstheme="minorHAnsi"/>
                <w:sz w:val="22"/>
                <w:szCs w:val="22"/>
              </w:rPr>
            </w:pPr>
            <w:r w:rsidRPr="004D6E73">
              <w:rPr>
                <w:rFonts w:asciiTheme="minorHAnsi" w:hAnsiTheme="minorHAnsi" w:cstheme="minorHAnsi"/>
                <w:sz w:val="22"/>
                <w:szCs w:val="22"/>
              </w:rPr>
              <w:t>Evidence that supports this approach</w:t>
            </w:r>
          </w:p>
        </w:tc>
        <w:tc>
          <w:tcPr>
            <w:tcW w:w="16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4D6E73" w:rsidRDefault="009D71E8">
            <w:pPr>
              <w:pStyle w:val="TableHeader"/>
              <w:jc w:val="left"/>
              <w:rPr>
                <w:rFonts w:asciiTheme="minorHAnsi" w:hAnsiTheme="minorHAnsi" w:cstheme="minorHAnsi"/>
                <w:sz w:val="22"/>
                <w:szCs w:val="22"/>
              </w:rPr>
            </w:pPr>
            <w:r w:rsidRPr="004D6E73">
              <w:rPr>
                <w:rFonts w:asciiTheme="minorHAnsi" w:hAnsiTheme="minorHAnsi" w:cstheme="minorHAnsi"/>
                <w:sz w:val="22"/>
                <w:szCs w:val="22"/>
              </w:rPr>
              <w:t>Challenge number(s) addressed</w:t>
            </w:r>
          </w:p>
        </w:tc>
      </w:tr>
      <w:tr w:rsidR="00E66558" w:rsidRPr="004D6E73" w14:paraId="2A7D551D" w14:textId="77777777" w:rsidTr="00D10869">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6C8F9422" w:rsidR="00E66558" w:rsidRPr="004D6E73" w:rsidRDefault="00FF28AD" w:rsidP="00242B83">
            <w:pPr>
              <w:pStyle w:val="TableRow"/>
              <w:ind w:left="0"/>
              <w:rPr>
                <w:rFonts w:asciiTheme="minorHAnsi" w:hAnsiTheme="minorHAnsi" w:cstheme="minorHAnsi"/>
                <w:color w:val="auto"/>
                <w:sz w:val="22"/>
                <w:szCs w:val="22"/>
              </w:rPr>
            </w:pPr>
            <w:r w:rsidRPr="004D6E73">
              <w:rPr>
                <w:rFonts w:asciiTheme="minorHAnsi" w:hAnsiTheme="minorHAnsi" w:cstheme="minorHAnsi"/>
                <w:color w:val="auto"/>
                <w:sz w:val="22"/>
                <w:szCs w:val="22"/>
              </w:rPr>
              <w:t>Continue to monitor and evaluate the implementation of LTS and MTS across all subjects with a focus monitoring the effectiveness of assessment and progress codes at KS3</w:t>
            </w:r>
            <w:r w:rsidR="00C07AC7" w:rsidRPr="004D6E73">
              <w:rPr>
                <w:rFonts w:asciiTheme="minorHAnsi" w:hAnsiTheme="minorHAnsi" w:cstheme="minorHAnsi"/>
                <w:color w:val="auto"/>
                <w:sz w:val="22"/>
                <w:szCs w:val="22"/>
              </w:rPr>
              <w:t xml:space="preserve"> with the development of golden threads</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2C88E" w14:textId="3562A33E" w:rsidR="00BE7255" w:rsidRPr="004D6E73" w:rsidRDefault="00BE7255" w:rsidP="00320514">
            <w:pPr>
              <w:pStyle w:val="TableRowCentered"/>
              <w:spacing w:after="120"/>
              <w:jc w:val="left"/>
              <w:rPr>
                <w:rFonts w:asciiTheme="minorHAnsi" w:hAnsiTheme="minorHAnsi" w:cstheme="minorHAnsi"/>
                <w:color w:val="auto"/>
                <w:sz w:val="22"/>
                <w:szCs w:val="22"/>
              </w:rPr>
            </w:pPr>
            <w:r w:rsidRPr="004D6E73">
              <w:rPr>
                <w:rFonts w:asciiTheme="minorHAnsi" w:hAnsiTheme="minorHAnsi" w:cstheme="minorHAnsi"/>
                <w:color w:val="auto"/>
                <w:sz w:val="22"/>
                <w:szCs w:val="22"/>
              </w:rPr>
              <w:t>High quality teaching as identified in EEF Pupil Premium guide</w:t>
            </w:r>
          </w:p>
          <w:p w14:paraId="241D536C" w14:textId="20868302" w:rsidR="00BE7255" w:rsidRPr="004D6E73" w:rsidRDefault="00BE7255" w:rsidP="00320514">
            <w:pPr>
              <w:pStyle w:val="TableRowCentered"/>
              <w:spacing w:after="120"/>
              <w:jc w:val="left"/>
              <w:rPr>
                <w:rFonts w:asciiTheme="minorHAnsi" w:hAnsiTheme="minorHAnsi" w:cstheme="minorHAnsi"/>
                <w:color w:val="auto"/>
                <w:sz w:val="22"/>
                <w:szCs w:val="22"/>
              </w:rPr>
            </w:pPr>
            <w:r w:rsidRPr="004D6E73">
              <w:rPr>
                <w:rFonts w:asciiTheme="minorHAnsi" w:hAnsiTheme="minorHAnsi" w:cstheme="minorHAnsi"/>
                <w:color w:val="auto"/>
                <w:sz w:val="22"/>
                <w:szCs w:val="22"/>
              </w:rPr>
              <w:t>Targeted intervention as outlined in EEF Pupil Premium guide</w:t>
            </w:r>
          </w:p>
          <w:p w14:paraId="2A7D551B" w14:textId="4C195370" w:rsidR="00BE7255" w:rsidRPr="004D6E73" w:rsidRDefault="00BE7255" w:rsidP="00320514">
            <w:pPr>
              <w:pStyle w:val="TableRowCentered"/>
              <w:spacing w:after="120"/>
              <w:jc w:val="left"/>
              <w:rPr>
                <w:rFonts w:asciiTheme="minorHAnsi" w:hAnsiTheme="minorHAnsi" w:cstheme="minorHAnsi"/>
                <w:color w:val="auto"/>
                <w:sz w:val="22"/>
                <w:szCs w:val="22"/>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1C4D8F3E" w:rsidR="00E66558" w:rsidRPr="004D6E73" w:rsidRDefault="00557992" w:rsidP="00D931F5">
            <w:pPr>
              <w:pStyle w:val="TableRowCentered"/>
              <w:ind w:left="0"/>
              <w:jc w:val="left"/>
              <w:rPr>
                <w:rFonts w:asciiTheme="minorHAnsi" w:hAnsiTheme="minorHAnsi" w:cstheme="minorHAnsi"/>
                <w:color w:val="auto"/>
                <w:sz w:val="22"/>
                <w:szCs w:val="22"/>
              </w:rPr>
            </w:pPr>
            <w:r w:rsidRPr="004D6E73">
              <w:rPr>
                <w:rFonts w:asciiTheme="minorHAnsi" w:hAnsiTheme="minorHAnsi" w:cstheme="minorHAnsi"/>
                <w:color w:val="auto"/>
                <w:sz w:val="22"/>
                <w:szCs w:val="22"/>
              </w:rPr>
              <w:t>2,3,4</w:t>
            </w:r>
          </w:p>
        </w:tc>
      </w:tr>
      <w:tr w:rsidR="00E66558" w:rsidRPr="004D6E73" w14:paraId="2A7D5521" w14:textId="77777777" w:rsidTr="00D10869">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6921D0A5" w:rsidR="00D70B98" w:rsidRPr="004D6E73" w:rsidRDefault="00692A2B" w:rsidP="00395834">
            <w:pPr>
              <w:suppressAutoHyphens w:val="0"/>
              <w:autoSpaceDN/>
              <w:spacing w:before="120" w:after="120" w:line="240" w:lineRule="auto"/>
              <w:ind w:left="29"/>
              <w:rPr>
                <w:rFonts w:asciiTheme="minorHAnsi" w:hAnsiTheme="minorHAnsi" w:cstheme="minorHAnsi"/>
                <w:iCs/>
                <w:color w:val="auto"/>
                <w:sz w:val="22"/>
                <w:szCs w:val="22"/>
                <w:lang w:val="en-US" w:eastAsia="en-US"/>
              </w:rPr>
            </w:pPr>
            <w:r w:rsidRPr="004D6E73">
              <w:rPr>
                <w:rFonts w:asciiTheme="minorHAnsi" w:hAnsiTheme="minorHAnsi" w:cstheme="minorHAnsi"/>
                <w:iCs/>
                <w:color w:val="auto"/>
                <w:sz w:val="22"/>
                <w:szCs w:val="22"/>
                <w:lang w:val="en-US" w:eastAsia="en-US"/>
              </w:rPr>
              <w:t xml:space="preserve">Promote high quality inclusive T&amp;L through QFT and reading strategies, retrieval practice and quality </w:t>
            </w:r>
            <w:proofErr w:type="spellStart"/>
            <w:r w:rsidRPr="004D6E73">
              <w:rPr>
                <w:rFonts w:asciiTheme="minorHAnsi" w:hAnsiTheme="minorHAnsi" w:cstheme="minorHAnsi"/>
                <w:iCs/>
                <w:color w:val="auto"/>
                <w:sz w:val="22"/>
                <w:szCs w:val="22"/>
                <w:lang w:val="en-US" w:eastAsia="en-US"/>
              </w:rPr>
              <w:t>AfL</w:t>
            </w:r>
            <w:proofErr w:type="spellEnd"/>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9235F" w14:textId="77777777" w:rsidR="00BE7255" w:rsidRPr="004D6E73" w:rsidRDefault="00BE7255" w:rsidP="00BE7255">
            <w:pPr>
              <w:pStyle w:val="TableRowCentered"/>
              <w:spacing w:after="120"/>
              <w:jc w:val="left"/>
              <w:rPr>
                <w:rFonts w:asciiTheme="minorHAnsi" w:hAnsiTheme="minorHAnsi" w:cstheme="minorHAnsi"/>
                <w:color w:val="auto"/>
                <w:sz w:val="22"/>
                <w:szCs w:val="22"/>
              </w:rPr>
            </w:pPr>
            <w:r w:rsidRPr="004D6E73">
              <w:rPr>
                <w:rFonts w:asciiTheme="minorHAnsi" w:hAnsiTheme="minorHAnsi" w:cstheme="minorHAnsi"/>
                <w:color w:val="auto"/>
                <w:sz w:val="22"/>
                <w:szCs w:val="22"/>
              </w:rPr>
              <w:t>High quality teaching as identified in EEF Pupil Premium guide</w:t>
            </w:r>
          </w:p>
          <w:p w14:paraId="2C170161" w14:textId="29349C4E" w:rsidR="00E66558" w:rsidRPr="004D6E73" w:rsidRDefault="003D3597" w:rsidP="00B64BAB">
            <w:pPr>
              <w:suppressAutoHyphens w:val="0"/>
              <w:autoSpaceDN/>
              <w:spacing w:before="60" w:after="120" w:line="240" w:lineRule="auto"/>
              <w:ind w:left="57" w:right="57"/>
              <w:rPr>
                <w:rFonts w:asciiTheme="minorHAnsi" w:hAnsiTheme="minorHAnsi" w:cstheme="minorHAnsi"/>
                <w:color w:val="auto"/>
                <w:sz w:val="22"/>
                <w:szCs w:val="22"/>
              </w:rPr>
            </w:pPr>
            <w:hyperlink r:id="rId10" w:history="1">
              <w:r w:rsidR="00BE7255" w:rsidRPr="004D6E73">
                <w:rPr>
                  <w:rStyle w:val="Hyperlink"/>
                  <w:rFonts w:asciiTheme="minorHAnsi" w:hAnsiTheme="minorHAnsi" w:cstheme="minorHAnsi"/>
                  <w:sz w:val="22"/>
                  <w:szCs w:val="22"/>
                </w:rPr>
                <w:t>EEF Feedback statement</w:t>
              </w:r>
            </w:hyperlink>
          </w:p>
          <w:p w14:paraId="2A7D551F" w14:textId="0FF7AF91" w:rsidR="00BE7255" w:rsidRPr="004D6E73" w:rsidRDefault="00BE7255" w:rsidP="00B64BAB">
            <w:pPr>
              <w:suppressAutoHyphens w:val="0"/>
              <w:autoSpaceDN/>
              <w:spacing w:before="60" w:after="120" w:line="240" w:lineRule="auto"/>
              <w:ind w:left="57" w:right="57"/>
              <w:rPr>
                <w:rFonts w:asciiTheme="minorHAnsi" w:hAnsiTheme="minorHAnsi" w:cstheme="minorHAnsi"/>
                <w:color w:val="auto"/>
                <w:sz w:val="22"/>
                <w:szCs w:val="22"/>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1FDA3A40" w:rsidR="00E66558" w:rsidRPr="004D6E73" w:rsidRDefault="00557992" w:rsidP="00180190">
            <w:pPr>
              <w:pStyle w:val="TableRowCentered"/>
              <w:ind w:left="0"/>
              <w:jc w:val="left"/>
              <w:rPr>
                <w:rFonts w:asciiTheme="minorHAnsi" w:hAnsiTheme="minorHAnsi" w:cstheme="minorHAnsi"/>
                <w:color w:val="auto"/>
                <w:sz w:val="22"/>
                <w:szCs w:val="22"/>
              </w:rPr>
            </w:pPr>
            <w:r w:rsidRPr="004D6E73">
              <w:rPr>
                <w:rFonts w:asciiTheme="minorHAnsi" w:hAnsiTheme="minorHAnsi" w:cstheme="minorHAnsi"/>
                <w:color w:val="auto"/>
                <w:sz w:val="22"/>
                <w:szCs w:val="22"/>
              </w:rPr>
              <w:lastRenderedPageBreak/>
              <w:t>2</w:t>
            </w:r>
          </w:p>
        </w:tc>
      </w:tr>
      <w:tr w:rsidR="004A539E" w:rsidRPr="004D6E73" w14:paraId="65909CA4" w14:textId="77777777" w:rsidTr="00EC4B9E">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A39EC" w14:textId="1B2FFC61" w:rsidR="00C45652" w:rsidRPr="004D6E73" w:rsidRDefault="00692A2B" w:rsidP="00300A47">
            <w:pPr>
              <w:pStyle w:val="TableRow"/>
              <w:spacing w:after="120"/>
              <w:ind w:left="26"/>
              <w:rPr>
                <w:rFonts w:asciiTheme="minorHAnsi" w:hAnsiTheme="minorHAnsi" w:cstheme="minorHAnsi"/>
                <w:color w:val="auto"/>
                <w:sz w:val="22"/>
                <w:szCs w:val="22"/>
              </w:rPr>
            </w:pPr>
            <w:r w:rsidRPr="004D6E73">
              <w:rPr>
                <w:rFonts w:asciiTheme="minorHAnsi" w:hAnsiTheme="minorHAnsi" w:cstheme="minorHAnsi"/>
                <w:color w:val="auto"/>
                <w:sz w:val="22"/>
                <w:szCs w:val="22"/>
              </w:rPr>
              <w:t xml:space="preserve">Improve the performance of key groups including MA, PP, White British Males by targeting </w:t>
            </w:r>
            <w:proofErr w:type="gramStart"/>
            <w:r w:rsidRPr="004D6E73">
              <w:rPr>
                <w:rFonts w:asciiTheme="minorHAnsi" w:hAnsiTheme="minorHAnsi" w:cstheme="minorHAnsi"/>
                <w:color w:val="auto"/>
                <w:sz w:val="22"/>
                <w:szCs w:val="22"/>
              </w:rPr>
              <w:t>classroom based</w:t>
            </w:r>
            <w:proofErr w:type="gramEnd"/>
            <w:r w:rsidRPr="004D6E73">
              <w:rPr>
                <w:rFonts w:asciiTheme="minorHAnsi" w:hAnsiTheme="minorHAnsi" w:cstheme="minorHAnsi"/>
                <w:color w:val="auto"/>
                <w:sz w:val="22"/>
                <w:szCs w:val="22"/>
              </w:rPr>
              <w:t xml:space="preserve"> intervention at underachievers.</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E167F" w14:textId="26AA7BB9" w:rsidR="00D10869" w:rsidRPr="004D6E73" w:rsidRDefault="003D3597" w:rsidP="00350E63">
            <w:pPr>
              <w:suppressAutoHyphens w:val="0"/>
              <w:autoSpaceDN/>
              <w:spacing w:before="60" w:after="120" w:line="240" w:lineRule="auto"/>
              <w:ind w:left="33" w:right="57"/>
              <w:rPr>
                <w:rFonts w:asciiTheme="minorHAnsi" w:hAnsiTheme="minorHAnsi" w:cstheme="minorHAnsi"/>
                <w:color w:val="auto"/>
                <w:sz w:val="22"/>
                <w:szCs w:val="22"/>
                <w:u w:val="single"/>
              </w:rPr>
            </w:pPr>
            <w:hyperlink r:id="rId11" w:history="1">
              <w:r w:rsidR="00BE7255" w:rsidRPr="004D6E73">
                <w:rPr>
                  <w:rStyle w:val="Hyperlink"/>
                  <w:rFonts w:asciiTheme="minorHAnsi" w:hAnsiTheme="minorHAnsi" w:cstheme="minorHAnsi"/>
                  <w:sz w:val="22"/>
                  <w:szCs w:val="22"/>
                </w:rPr>
                <w:t>EEF tuition statement</w:t>
              </w:r>
            </w:hyperlink>
          </w:p>
          <w:p w14:paraId="497CDF50" w14:textId="2BABE432" w:rsidR="00BE7255" w:rsidRPr="004D6E73" w:rsidRDefault="00BE7255" w:rsidP="00350E63">
            <w:pPr>
              <w:suppressAutoHyphens w:val="0"/>
              <w:autoSpaceDN/>
              <w:spacing w:before="60" w:after="120" w:line="240" w:lineRule="auto"/>
              <w:ind w:left="33" w:right="57"/>
              <w:rPr>
                <w:rFonts w:asciiTheme="minorHAnsi" w:hAnsiTheme="minorHAnsi" w:cstheme="minorHAnsi"/>
                <w:color w:val="auto"/>
                <w:sz w:val="22"/>
                <w:szCs w:val="22"/>
                <w:u w:val="single"/>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FCBF7" w14:textId="5726788D" w:rsidR="004A539E" w:rsidRPr="004D6E73" w:rsidRDefault="00557992" w:rsidP="00180190">
            <w:pPr>
              <w:pStyle w:val="TableRowCentered"/>
              <w:ind w:left="0"/>
              <w:jc w:val="left"/>
              <w:rPr>
                <w:rFonts w:asciiTheme="minorHAnsi" w:hAnsiTheme="minorHAnsi" w:cstheme="minorHAnsi"/>
                <w:color w:val="auto"/>
                <w:sz w:val="22"/>
                <w:szCs w:val="22"/>
              </w:rPr>
            </w:pPr>
            <w:r w:rsidRPr="004D6E73">
              <w:rPr>
                <w:rFonts w:asciiTheme="minorHAnsi" w:hAnsiTheme="minorHAnsi" w:cstheme="minorHAnsi"/>
                <w:color w:val="auto"/>
                <w:sz w:val="22"/>
                <w:szCs w:val="22"/>
              </w:rPr>
              <w:t>2,3</w:t>
            </w:r>
          </w:p>
        </w:tc>
      </w:tr>
    </w:tbl>
    <w:p w14:paraId="2A7D5522" w14:textId="77777777" w:rsidR="00E66558" w:rsidRPr="004D6E73" w:rsidRDefault="00E66558">
      <w:pPr>
        <w:keepNext/>
        <w:spacing w:after="60"/>
        <w:outlineLvl w:val="1"/>
        <w:rPr>
          <w:rFonts w:asciiTheme="minorHAnsi" w:hAnsiTheme="minorHAnsi" w:cstheme="minorHAnsi"/>
          <w:sz w:val="22"/>
          <w:szCs w:val="22"/>
        </w:rPr>
      </w:pPr>
    </w:p>
    <w:p w14:paraId="2A7D5523" w14:textId="1DC08891" w:rsidR="00E66558" w:rsidRPr="004D6E73" w:rsidRDefault="009D71E8" w:rsidP="006B51F6">
      <w:pPr>
        <w:spacing w:before="240"/>
        <w:rPr>
          <w:rFonts w:asciiTheme="minorHAnsi" w:hAnsiTheme="minorHAnsi" w:cstheme="minorHAnsi"/>
          <w:b/>
          <w:bCs/>
          <w:color w:val="104F75"/>
          <w:sz w:val="22"/>
          <w:szCs w:val="22"/>
        </w:rPr>
      </w:pPr>
      <w:r w:rsidRPr="004D6E73">
        <w:rPr>
          <w:rFonts w:asciiTheme="minorHAnsi" w:hAnsiTheme="minorHAnsi" w:cstheme="minorHAnsi"/>
          <w:b/>
          <w:bCs/>
          <w:color w:val="104F75"/>
          <w:sz w:val="22"/>
          <w:szCs w:val="22"/>
        </w:rPr>
        <w:t xml:space="preserve">Targeted academic support (for example, </w:t>
      </w:r>
      <w:r w:rsidR="00D33FE5" w:rsidRPr="004D6E73">
        <w:rPr>
          <w:rFonts w:asciiTheme="minorHAnsi" w:hAnsiTheme="minorHAnsi" w:cstheme="minorHAnsi"/>
          <w:b/>
          <w:bCs/>
          <w:color w:val="104F75"/>
          <w:sz w:val="22"/>
          <w:szCs w:val="22"/>
        </w:rPr>
        <w:t xml:space="preserve">tutoring, one-to-one support </w:t>
      </w:r>
      <w:r w:rsidRPr="004D6E73">
        <w:rPr>
          <w:rFonts w:asciiTheme="minorHAnsi" w:hAnsiTheme="minorHAnsi" w:cstheme="minorHAnsi"/>
          <w:b/>
          <w:bCs/>
          <w:color w:val="104F75"/>
          <w:sz w:val="22"/>
          <w:szCs w:val="22"/>
        </w:rPr>
        <w:t xml:space="preserve">structured interventions) </w:t>
      </w:r>
    </w:p>
    <w:p w14:paraId="2A7D5524" w14:textId="1D4CC40D" w:rsidR="00E66558" w:rsidRPr="004D6E73" w:rsidRDefault="009D71E8" w:rsidP="009A7A96">
      <w:pPr>
        <w:rPr>
          <w:rFonts w:asciiTheme="minorHAnsi" w:hAnsiTheme="minorHAnsi" w:cstheme="minorHAnsi"/>
          <w:sz w:val="22"/>
          <w:szCs w:val="22"/>
        </w:rPr>
      </w:pPr>
      <w:r w:rsidRPr="004D6E73">
        <w:rPr>
          <w:rFonts w:asciiTheme="minorHAnsi" w:hAnsiTheme="minorHAnsi" w:cstheme="minorHAnsi"/>
          <w:sz w:val="22"/>
          <w:szCs w:val="22"/>
        </w:rPr>
        <w:t xml:space="preserve">Budgeted cost: </w:t>
      </w:r>
      <w:r w:rsidR="00A2550B" w:rsidRPr="004D6E73">
        <w:rPr>
          <w:rFonts w:asciiTheme="minorHAnsi" w:hAnsiTheme="minorHAnsi" w:cstheme="minorHAnsi"/>
          <w:sz w:val="22"/>
          <w:szCs w:val="22"/>
        </w:rPr>
        <w:t>£</w:t>
      </w:r>
      <w:r w:rsidR="00C07AC7" w:rsidRPr="004D6E73">
        <w:rPr>
          <w:rFonts w:asciiTheme="minorHAnsi" w:hAnsiTheme="minorHAnsi" w:cstheme="minorHAnsi"/>
          <w:sz w:val="22"/>
          <w:szCs w:val="22"/>
        </w:rPr>
        <w:t xml:space="preserve"> </w:t>
      </w:r>
      <w:r w:rsidR="003D3597">
        <w:rPr>
          <w:rFonts w:asciiTheme="minorHAnsi" w:hAnsiTheme="minorHAnsi" w:cstheme="minorHAnsi"/>
          <w:sz w:val="22"/>
          <w:szCs w:val="22"/>
        </w:rPr>
        <w:t>80000</w:t>
      </w:r>
    </w:p>
    <w:tbl>
      <w:tblPr>
        <w:tblW w:w="5000" w:type="pct"/>
        <w:tblLayout w:type="fixed"/>
        <w:tblCellMar>
          <w:left w:w="10" w:type="dxa"/>
          <w:right w:w="10" w:type="dxa"/>
        </w:tblCellMar>
        <w:tblLook w:val="04A0" w:firstRow="1" w:lastRow="0" w:firstColumn="1" w:lastColumn="0" w:noHBand="0" w:noVBand="1"/>
      </w:tblPr>
      <w:tblGrid>
        <w:gridCol w:w="3114"/>
        <w:gridCol w:w="4615"/>
        <w:gridCol w:w="1757"/>
      </w:tblGrid>
      <w:tr w:rsidR="00E66558" w:rsidRPr="004D6E73" w14:paraId="2A7D5528" w14:textId="77777777" w:rsidTr="00AF1973">
        <w:tc>
          <w:tcPr>
            <w:tcW w:w="311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4D6E73" w:rsidRDefault="009D71E8">
            <w:pPr>
              <w:pStyle w:val="TableHeader"/>
              <w:jc w:val="left"/>
              <w:rPr>
                <w:rFonts w:asciiTheme="minorHAnsi" w:hAnsiTheme="minorHAnsi" w:cstheme="minorHAnsi"/>
                <w:sz w:val="22"/>
                <w:szCs w:val="22"/>
              </w:rPr>
            </w:pPr>
            <w:r w:rsidRPr="004D6E73">
              <w:rPr>
                <w:rFonts w:asciiTheme="minorHAnsi" w:hAnsiTheme="minorHAnsi" w:cstheme="minorHAnsi"/>
                <w:sz w:val="22"/>
                <w:szCs w:val="22"/>
              </w:rPr>
              <w:t>Activity</w:t>
            </w:r>
          </w:p>
        </w:tc>
        <w:tc>
          <w:tcPr>
            <w:tcW w:w="46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4D6E73" w:rsidRDefault="009D71E8">
            <w:pPr>
              <w:pStyle w:val="TableHeader"/>
              <w:jc w:val="left"/>
              <w:rPr>
                <w:rFonts w:asciiTheme="minorHAnsi" w:hAnsiTheme="minorHAnsi" w:cstheme="minorHAnsi"/>
                <w:sz w:val="22"/>
                <w:szCs w:val="22"/>
              </w:rPr>
            </w:pPr>
            <w:r w:rsidRPr="004D6E73">
              <w:rPr>
                <w:rFonts w:asciiTheme="minorHAnsi" w:hAnsiTheme="minorHAnsi" w:cstheme="minorHAnsi"/>
                <w:sz w:val="22"/>
                <w:szCs w:val="22"/>
              </w:rPr>
              <w:t>Evidence that supports this approach</w:t>
            </w:r>
          </w:p>
        </w:tc>
        <w:tc>
          <w:tcPr>
            <w:tcW w:w="175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4D6E73" w:rsidRDefault="009D71E8">
            <w:pPr>
              <w:pStyle w:val="TableHeader"/>
              <w:jc w:val="left"/>
              <w:rPr>
                <w:rFonts w:asciiTheme="minorHAnsi" w:hAnsiTheme="minorHAnsi" w:cstheme="minorHAnsi"/>
                <w:sz w:val="22"/>
                <w:szCs w:val="22"/>
              </w:rPr>
            </w:pPr>
            <w:r w:rsidRPr="004D6E73">
              <w:rPr>
                <w:rFonts w:asciiTheme="minorHAnsi" w:hAnsiTheme="minorHAnsi" w:cstheme="minorHAnsi"/>
                <w:sz w:val="22"/>
                <w:szCs w:val="22"/>
              </w:rPr>
              <w:t>Challenge number(s) addressed</w:t>
            </w:r>
          </w:p>
        </w:tc>
      </w:tr>
      <w:tr w:rsidR="00A50F03" w:rsidRPr="004D6E73" w14:paraId="2A7D552C" w14:textId="77777777" w:rsidTr="00AF1973">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4E10A9B3" w:rsidR="00E54D67" w:rsidRPr="004D6E73" w:rsidRDefault="00CE4CDC" w:rsidP="00BA3E66">
            <w:pPr>
              <w:pStyle w:val="TableRow"/>
              <w:spacing w:after="240"/>
              <w:rPr>
                <w:rFonts w:asciiTheme="minorHAnsi" w:hAnsiTheme="minorHAnsi" w:cstheme="minorHAnsi"/>
                <w:color w:val="auto"/>
                <w:sz w:val="22"/>
                <w:szCs w:val="22"/>
              </w:rPr>
            </w:pPr>
            <w:r w:rsidRPr="004D6E73">
              <w:rPr>
                <w:rFonts w:asciiTheme="minorHAnsi" w:hAnsiTheme="minorHAnsi" w:cstheme="minorHAnsi"/>
                <w:color w:val="auto"/>
                <w:sz w:val="22"/>
                <w:szCs w:val="22"/>
              </w:rPr>
              <w:t>Effectively identify students to receive additional interventions linked to performance in English and Maths using online support programmes, including the NTP</w:t>
            </w:r>
            <w:r w:rsidR="00FF28AD" w:rsidRPr="004D6E73">
              <w:rPr>
                <w:rFonts w:asciiTheme="minorHAnsi" w:hAnsiTheme="minorHAnsi" w:cstheme="minorHAnsi"/>
                <w:color w:val="auto"/>
                <w:sz w:val="22"/>
                <w:szCs w:val="22"/>
              </w:rPr>
              <w:t>, SLT</w:t>
            </w:r>
            <w:r w:rsidRPr="004D6E73">
              <w:rPr>
                <w:rFonts w:asciiTheme="minorHAnsi" w:hAnsiTheme="minorHAnsi" w:cstheme="minorHAnsi"/>
                <w:color w:val="auto"/>
                <w:sz w:val="22"/>
                <w:szCs w:val="22"/>
              </w:rPr>
              <w:t xml:space="preserve"> and small group withdrawal to improve progress.</w:t>
            </w:r>
          </w:p>
        </w:tc>
        <w:tc>
          <w:tcPr>
            <w:tcW w:w="4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B2A0C" w14:textId="0246D4F3" w:rsidR="0041503C" w:rsidRPr="004D6E73" w:rsidRDefault="003D3597" w:rsidP="0041503C">
            <w:pPr>
              <w:suppressAutoHyphens w:val="0"/>
              <w:autoSpaceDN/>
              <w:spacing w:before="60" w:after="120" w:line="240" w:lineRule="auto"/>
              <w:ind w:right="57"/>
              <w:rPr>
                <w:rFonts w:asciiTheme="minorHAnsi" w:hAnsiTheme="minorHAnsi" w:cstheme="minorHAnsi"/>
                <w:color w:val="auto"/>
                <w:sz w:val="22"/>
                <w:szCs w:val="22"/>
              </w:rPr>
            </w:pPr>
            <w:hyperlink r:id="rId12" w:history="1">
              <w:r w:rsidR="0041503C" w:rsidRPr="004D6E73">
                <w:rPr>
                  <w:rStyle w:val="Hyperlink"/>
                  <w:rFonts w:asciiTheme="minorHAnsi" w:hAnsiTheme="minorHAnsi" w:cstheme="minorHAnsi"/>
                  <w:sz w:val="22"/>
                  <w:szCs w:val="22"/>
                </w:rPr>
                <w:t>EEF One- One tuition statement</w:t>
              </w:r>
            </w:hyperlink>
          </w:p>
          <w:p w14:paraId="2A7D552A" w14:textId="763D5BF4" w:rsidR="0041503C" w:rsidRPr="004D6E73" w:rsidRDefault="003D3597" w:rsidP="0041503C">
            <w:pPr>
              <w:suppressAutoHyphens w:val="0"/>
              <w:autoSpaceDN/>
              <w:spacing w:before="60" w:after="120" w:line="240" w:lineRule="auto"/>
              <w:ind w:right="57"/>
              <w:rPr>
                <w:rFonts w:asciiTheme="minorHAnsi" w:hAnsiTheme="minorHAnsi" w:cstheme="minorHAnsi"/>
                <w:color w:val="auto"/>
                <w:sz w:val="22"/>
                <w:szCs w:val="22"/>
              </w:rPr>
            </w:pPr>
            <w:hyperlink r:id="rId13" w:history="1">
              <w:r w:rsidR="0041503C" w:rsidRPr="004D6E73">
                <w:rPr>
                  <w:rStyle w:val="Hyperlink"/>
                  <w:rFonts w:asciiTheme="minorHAnsi" w:hAnsiTheme="minorHAnsi" w:cstheme="minorHAnsi"/>
                  <w:sz w:val="22"/>
                  <w:szCs w:val="22"/>
                </w:rPr>
                <w:t>EEF Small group tuition statement</w:t>
              </w:r>
            </w:hyperlink>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6A6154F9" w:rsidR="00E66558" w:rsidRPr="004D6E73" w:rsidRDefault="00557992" w:rsidP="00180190">
            <w:pPr>
              <w:pStyle w:val="TableRowCentered"/>
              <w:ind w:left="0"/>
              <w:jc w:val="left"/>
              <w:rPr>
                <w:rFonts w:asciiTheme="minorHAnsi" w:hAnsiTheme="minorHAnsi" w:cstheme="minorHAnsi"/>
                <w:color w:val="auto"/>
                <w:sz w:val="22"/>
                <w:szCs w:val="22"/>
              </w:rPr>
            </w:pPr>
            <w:r w:rsidRPr="004D6E73">
              <w:rPr>
                <w:rFonts w:asciiTheme="minorHAnsi" w:hAnsiTheme="minorHAnsi" w:cstheme="minorHAnsi"/>
                <w:color w:val="auto"/>
                <w:sz w:val="22"/>
                <w:szCs w:val="22"/>
              </w:rPr>
              <w:t>3,4</w:t>
            </w:r>
          </w:p>
        </w:tc>
      </w:tr>
      <w:tr w:rsidR="00A50F03" w:rsidRPr="004D6E73" w14:paraId="2A7D5530" w14:textId="77777777" w:rsidTr="00AF1973">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32079AE0" w:rsidR="00E66558" w:rsidRPr="004D6E73" w:rsidRDefault="00CE4CDC" w:rsidP="008841AD">
            <w:pPr>
              <w:suppressAutoHyphens w:val="0"/>
              <w:autoSpaceDN/>
              <w:spacing w:before="60" w:after="60" w:line="240" w:lineRule="auto"/>
              <w:ind w:left="57" w:right="57"/>
              <w:rPr>
                <w:rFonts w:asciiTheme="minorHAnsi" w:hAnsiTheme="minorHAnsi" w:cstheme="minorHAnsi"/>
                <w:color w:val="auto"/>
                <w:sz w:val="22"/>
                <w:szCs w:val="22"/>
              </w:rPr>
            </w:pPr>
            <w:r w:rsidRPr="004D6E73">
              <w:rPr>
                <w:rFonts w:asciiTheme="minorHAnsi" w:hAnsiTheme="minorHAnsi" w:cstheme="minorHAnsi"/>
                <w:color w:val="auto"/>
                <w:sz w:val="22"/>
                <w:szCs w:val="22"/>
              </w:rPr>
              <w:t>Embed a programme of academic</w:t>
            </w:r>
            <w:r w:rsidR="00FF28AD" w:rsidRPr="004D6E73">
              <w:rPr>
                <w:rFonts w:asciiTheme="minorHAnsi" w:hAnsiTheme="minorHAnsi" w:cstheme="minorHAnsi"/>
                <w:color w:val="auto"/>
                <w:sz w:val="22"/>
                <w:szCs w:val="22"/>
              </w:rPr>
              <w:t>, registration, lunchtime and</w:t>
            </w:r>
            <w:r w:rsidRPr="004D6E73">
              <w:rPr>
                <w:rFonts w:asciiTheme="minorHAnsi" w:hAnsiTheme="minorHAnsi" w:cstheme="minorHAnsi"/>
                <w:color w:val="auto"/>
                <w:sz w:val="22"/>
                <w:szCs w:val="22"/>
              </w:rPr>
              <w:t xml:space="preserve"> after school sessions that will support students in all examination groups</w:t>
            </w:r>
            <w:r w:rsidR="00FF28AD" w:rsidRPr="004D6E73">
              <w:rPr>
                <w:rFonts w:asciiTheme="minorHAnsi" w:hAnsiTheme="minorHAnsi" w:cstheme="minorHAnsi"/>
                <w:color w:val="auto"/>
                <w:sz w:val="22"/>
                <w:szCs w:val="22"/>
              </w:rPr>
              <w:t xml:space="preserve"> </w:t>
            </w:r>
          </w:p>
        </w:tc>
        <w:tc>
          <w:tcPr>
            <w:tcW w:w="4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3F44B" w14:textId="31EBFD63" w:rsidR="00145A01" w:rsidRPr="004D6E73" w:rsidRDefault="003D3597" w:rsidP="00AF1973">
            <w:pPr>
              <w:suppressAutoHyphens w:val="0"/>
              <w:autoSpaceDN/>
              <w:spacing w:before="60" w:after="120" w:line="240" w:lineRule="auto"/>
              <w:ind w:left="57" w:right="57"/>
              <w:rPr>
                <w:rFonts w:asciiTheme="minorHAnsi" w:hAnsiTheme="minorHAnsi" w:cstheme="minorHAnsi"/>
                <w:color w:val="auto"/>
                <w:sz w:val="22"/>
                <w:szCs w:val="22"/>
              </w:rPr>
            </w:pPr>
            <w:hyperlink r:id="rId14" w:history="1">
              <w:r w:rsidR="0041503C" w:rsidRPr="004D6E73">
                <w:rPr>
                  <w:rStyle w:val="Hyperlink"/>
                  <w:rFonts w:asciiTheme="minorHAnsi" w:hAnsiTheme="minorHAnsi" w:cstheme="minorHAnsi"/>
                  <w:sz w:val="22"/>
                  <w:szCs w:val="22"/>
                </w:rPr>
                <w:t>EEF Extending school day statement</w:t>
              </w:r>
            </w:hyperlink>
          </w:p>
          <w:p w14:paraId="2A7D552E" w14:textId="3AB2CA34" w:rsidR="0041503C" w:rsidRPr="004D6E73" w:rsidRDefault="0041503C" w:rsidP="00AF1973">
            <w:pPr>
              <w:suppressAutoHyphens w:val="0"/>
              <w:autoSpaceDN/>
              <w:spacing w:before="60" w:after="120" w:line="240" w:lineRule="auto"/>
              <w:ind w:left="57" w:right="57"/>
              <w:rPr>
                <w:rFonts w:asciiTheme="minorHAnsi" w:hAnsiTheme="minorHAnsi" w:cstheme="minorHAnsi"/>
                <w:color w:val="auto"/>
                <w:sz w:val="22"/>
                <w:szCs w:val="22"/>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02A91130" w:rsidR="00E66558" w:rsidRPr="004D6E73" w:rsidRDefault="00557992" w:rsidP="00557992">
            <w:pPr>
              <w:pStyle w:val="TableRowCentered"/>
              <w:ind w:left="0"/>
              <w:jc w:val="left"/>
              <w:rPr>
                <w:rFonts w:asciiTheme="minorHAnsi" w:hAnsiTheme="minorHAnsi" w:cstheme="minorHAnsi"/>
                <w:color w:val="auto"/>
                <w:sz w:val="22"/>
                <w:szCs w:val="22"/>
              </w:rPr>
            </w:pPr>
            <w:r w:rsidRPr="004D6E73">
              <w:rPr>
                <w:rFonts w:asciiTheme="minorHAnsi" w:hAnsiTheme="minorHAnsi" w:cstheme="minorHAnsi"/>
                <w:color w:val="auto"/>
                <w:sz w:val="22"/>
                <w:szCs w:val="22"/>
              </w:rPr>
              <w:t>2,3,4</w:t>
            </w:r>
          </w:p>
        </w:tc>
      </w:tr>
      <w:tr w:rsidR="00FF28AD" w:rsidRPr="004D6E73" w14:paraId="3F123454" w14:textId="77777777" w:rsidTr="00AF1973">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91F2A" w14:textId="19681AC9" w:rsidR="00FF28AD" w:rsidRPr="004D6E73" w:rsidRDefault="00FF28AD" w:rsidP="008841AD">
            <w:pPr>
              <w:suppressAutoHyphens w:val="0"/>
              <w:autoSpaceDN/>
              <w:spacing w:before="60" w:after="60" w:line="240" w:lineRule="auto"/>
              <w:ind w:left="57" w:right="57"/>
              <w:rPr>
                <w:rFonts w:asciiTheme="minorHAnsi" w:hAnsiTheme="minorHAnsi" w:cstheme="minorHAnsi"/>
                <w:color w:val="auto"/>
                <w:sz w:val="22"/>
                <w:szCs w:val="22"/>
              </w:rPr>
            </w:pPr>
            <w:r w:rsidRPr="004D6E73">
              <w:rPr>
                <w:rFonts w:asciiTheme="minorHAnsi" w:hAnsiTheme="minorHAnsi" w:cstheme="minorHAnsi"/>
                <w:color w:val="auto"/>
                <w:sz w:val="22"/>
                <w:szCs w:val="22"/>
              </w:rPr>
              <w:t xml:space="preserve">Develop a robust strategy to improve the provision for reading including the use of targeted intervention aimed specifically at the lowest 20% </w:t>
            </w:r>
          </w:p>
        </w:tc>
        <w:tc>
          <w:tcPr>
            <w:tcW w:w="4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D3FC9" w14:textId="659CA2F2" w:rsidR="00FF28AD" w:rsidRPr="004D6E73" w:rsidRDefault="003D3597" w:rsidP="00AF1973">
            <w:pPr>
              <w:suppressAutoHyphens w:val="0"/>
              <w:autoSpaceDN/>
              <w:spacing w:before="60" w:after="120" w:line="240" w:lineRule="auto"/>
              <w:ind w:left="57" w:right="57"/>
              <w:rPr>
                <w:rFonts w:asciiTheme="minorHAnsi" w:hAnsiTheme="minorHAnsi" w:cstheme="minorHAnsi"/>
                <w:sz w:val="22"/>
                <w:szCs w:val="22"/>
              </w:rPr>
            </w:pPr>
            <w:hyperlink r:id="rId15" w:history="1">
              <w:r w:rsidR="00AE01E8" w:rsidRPr="004D6E73">
                <w:rPr>
                  <w:rStyle w:val="Hyperlink"/>
                  <w:rFonts w:asciiTheme="minorHAnsi" w:hAnsiTheme="minorHAnsi" w:cstheme="minorHAnsi"/>
                  <w:sz w:val="22"/>
                  <w:szCs w:val="22"/>
                </w:rPr>
                <w:t>EEF Reading strategies</w:t>
              </w:r>
            </w:hyperlink>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4DE54" w14:textId="77777777" w:rsidR="00FF28AD" w:rsidRPr="004D6E73" w:rsidRDefault="00FF28AD" w:rsidP="00557992">
            <w:pPr>
              <w:pStyle w:val="TableRowCentered"/>
              <w:ind w:left="0"/>
              <w:jc w:val="left"/>
              <w:rPr>
                <w:rFonts w:asciiTheme="minorHAnsi" w:hAnsiTheme="minorHAnsi" w:cstheme="minorHAnsi"/>
                <w:color w:val="auto"/>
                <w:sz w:val="22"/>
                <w:szCs w:val="22"/>
              </w:rPr>
            </w:pPr>
          </w:p>
        </w:tc>
      </w:tr>
    </w:tbl>
    <w:p w14:paraId="2A7D5531" w14:textId="77777777" w:rsidR="00E66558" w:rsidRPr="004D6E73" w:rsidRDefault="00E66558">
      <w:pPr>
        <w:spacing w:after="0"/>
        <w:rPr>
          <w:rFonts w:asciiTheme="minorHAnsi" w:hAnsiTheme="minorHAnsi" w:cstheme="minorHAnsi"/>
          <w:b/>
          <w:color w:val="104F75"/>
          <w:sz w:val="22"/>
          <w:szCs w:val="22"/>
        </w:rPr>
      </w:pPr>
    </w:p>
    <w:p w14:paraId="2A7D5532" w14:textId="59A68BC3" w:rsidR="00E66558" w:rsidRPr="004D6E73" w:rsidRDefault="009D71E8" w:rsidP="006B51F6">
      <w:pPr>
        <w:spacing w:before="240"/>
        <w:rPr>
          <w:rFonts w:asciiTheme="minorHAnsi" w:hAnsiTheme="minorHAnsi" w:cstheme="minorHAnsi"/>
          <w:b/>
          <w:color w:val="104F75"/>
          <w:sz w:val="22"/>
          <w:szCs w:val="22"/>
        </w:rPr>
      </w:pPr>
      <w:r w:rsidRPr="004D6E73">
        <w:rPr>
          <w:rFonts w:asciiTheme="minorHAnsi" w:hAnsiTheme="minorHAnsi" w:cstheme="minorHAnsi"/>
          <w:b/>
          <w:color w:val="104F75"/>
          <w:sz w:val="22"/>
          <w:szCs w:val="22"/>
        </w:rPr>
        <w:t>Wider strategies (for example, related to attendance, behaviour, wellbeing)</w:t>
      </w:r>
    </w:p>
    <w:p w14:paraId="2A7D5533" w14:textId="390315FE" w:rsidR="00E66558" w:rsidRPr="004D6E73" w:rsidRDefault="009D71E8" w:rsidP="009A7A96">
      <w:pPr>
        <w:spacing w:before="240"/>
        <w:rPr>
          <w:rFonts w:asciiTheme="minorHAnsi" w:hAnsiTheme="minorHAnsi" w:cstheme="minorHAnsi"/>
          <w:sz w:val="22"/>
          <w:szCs w:val="22"/>
        </w:rPr>
      </w:pPr>
      <w:r w:rsidRPr="004D6E73">
        <w:rPr>
          <w:rFonts w:asciiTheme="minorHAnsi" w:hAnsiTheme="minorHAnsi" w:cstheme="minorHAnsi"/>
          <w:sz w:val="22"/>
          <w:szCs w:val="22"/>
        </w:rPr>
        <w:t xml:space="preserve">Budgeted cost: </w:t>
      </w:r>
      <w:r w:rsidR="00A2550B" w:rsidRPr="004D6E73">
        <w:rPr>
          <w:rFonts w:asciiTheme="minorHAnsi" w:hAnsiTheme="minorHAnsi" w:cstheme="minorHAnsi"/>
          <w:sz w:val="22"/>
          <w:szCs w:val="22"/>
        </w:rPr>
        <w:t>£</w:t>
      </w:r>
      <w:r w:rsidR="00C07AC7" w:rsidRPr="004D6E73">
        <w:rPr>
          <w:rFonts w:asciiTheme="minorHAnsi" w:hAnsiTheme="minorHAnsi" w:cstheme="minorHAnsi"/>
          <w:sz w:val="22"/>
          <w:szCs w:val="22"/>
        </w:rPr>
        <w:t xml:space="preserve"> </w:t>
      </w:r>
      <w:r w:rsidR="003D3597">
        <w:rPr>
          <w:rFonts w:asciiTheme="minorHAnsi" w:hAnsiTheme="minorHAnsi" w:cstheme="minorHAnsi"/>
          <w:sz w:val="22"/>
          <w:szCs w:val="22"/>
        </w:rPr>
        <w:t>182554</w:t>
      </w:r>
    </w:p>
    <w:tbl>
      <w:tblPr>
        <w:tblW w:w="5000" w:type="pct"/>
        <w:tblLayout w:type="fixed"/>
        <w:tblCellMar>
          <w:left w:w="10" w:type="dxa"/>
          <w:right w:w="10" w:type="dxa"/>
        </w:tblCellMar>
        <w:tblLook w:val="04A0" w:firstRow="1" w:lastRow="0" w:firstColumn="1" w:lastColumn="0" w:noHBand="0" w:noVBand="1"/>
      </w:tblPr>
      <w:tblGrid>
        <w:gridCol w:w="2972"/>
        <w:gridCol w:w="4678"/>
        <w:gridCol w:w="1836"/>
      </w:tblGrid>
      <w:tr w:rsidR="005C3EC2" w:rsidRPr="004D6E73" w14:paraId="2A7D5537" w14:textId="77777777" w:rsidTr="00FF19A7">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4D6E73" w:rsidRDefault="009D71E8" w:rsidP="005C3EC2">
            <w:pPr>
              <w:pStyle w:val="TableHeader"/>
              <w:ind w:right="-428"/>
              <w:jc w:val="left"/>
              <w:rPr>
                <w:rFonts w:asciiTheme="minorHAnsi" w:hAnsiTheme="minorHAnsi" w:cstheme="minorHAnsi"/>
                <w:sz w:val="22"/>
                <w:szCs w:val="22"/>
              </w:rPr>
            </w:pPr>
            <w:r w:rsidRPr="004D6E73">
              <w:rPr>
                <w:rFonts w:asciiTheme="minorHAnsi" w:hAnsiTheme="minorHAnsi" w:cstheme="minorHAnsi"/>
                <w:sz w:val="22"/>
                <w:szCs w:val="22"/>
              </w:rPr>
              <w:t>Activity</w:t>
            </w:r>
          </w:p>
        </w:tc>
        <w:tc>
          <w:tcPr>
            <w:tcW w:w="467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4D6E73" w:rsidRDefault="009D71E8">
            <w:pPr>
              <w:pStyle w:val="TableHeader"/>
              <w:jc w:val="left"/>
              <w:rPr>
                <w:rFonts w:asciiTheme="minorHAnsi" w:hAnsiTheme="minorHAnsi" w:cstheme="minorHAnsi"/>
                <w:sz w:val="22"/>
                <w:szCs w:val="22"/>
              </w:rPr>
            </w:pPr>
            <w:r w:rsidRPr="004D6E73">
              <w:rPr>
                <w:rFonts w:asciiTheme="minorHAnsi" w:hAnsiTheme="minorHAnsi" w:cstheme="minorHAnsi"/>
                <w:sz w:val="22"/>
                <w:szCs w:val="22"/>
              </w:rPr>
              <w:t>Evidence that supports this approach</w:t>
            </w:r>
          </w:p>
        </w:tc>
        <w:tc>
          <w:tcPr>
            <w:tcW w:w="183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4D6E73" w:rsidRDefault="009D71E8">
            <w:pPr>
              <w:pStyle w:val="TableHeader"/>
              <w:jc w:val="left"/>
              <w:rPr>
                <w:rFonts w:asciiTheme="minorHAnsi" w:hAnsiTheme="minorHAnsi" w:cstheme="minorHAnsi"/>
                <w:sz w:val="22"/>
                <w:szCs w:val="22"/>
              </w:rPr>
            </w:pPr>
            <w:r w:rsidRPr="004D6E73">
              <w:rPr>
                <w:rFonts w:asciiTheme="minorHAnsi" w:hAnsiTheme="minorHAnsi" w:cstheme="minorHAnsi"/>
                <w:sz w:val="22"/>
                <w:szCs w:val="22"/>
              </w:rPr>
              <w:t>Challenge number(s) addressed</w:t>
            </w:r>
          </w:p>
        </w:tc>
      </w:tr>
      <w:tr w:rsidR="00E66558" w:rsidRPr="004D6E73" w14:paraId="2A7D553F" w14:textId="77777777" w:rsidTr="00FF19A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25C878D5" w:rsidR="00E66558" w:rsidRPr="004D6E73" w:rsidRDefault="00FF28AD" w:rsidP="004C50F2">
            <w:pPr>
              <w:pStyle w:val="TableRow"/>
              <w:ind w:left="29"/>
              <w:rPr>
                <w:rFonts w:asciiTheme="minorHAnsi" w:hAnsiTheme="minorHAnsi" w:cstheme="minorHAnsi"/>
                <w:color w:val="auto"/>
                <w:sz w:val="22"/>
                <w:szCs w:val="22"/>
              </w:rPr>
            </w:pPr>
            <w:r w:rsidRPr="004D6E73">
              <w:rPr>
                <w:rFonts w:asciiTheme="minorHAnsi" w:hAnsiTheme="minorHAnsi" w:cstheme="minorHAnsi"/>
                <w:color w:val="auto"/>
                <w:sz w:val="22"/>
                <w:szCs w:val="22"/>
              </w:rPr>
              <w:t>Monitor</w:t>
            </w:r>
            <w:r w:rsidR="004C5A88" w:rsidRPr="004D6E73">
              <w:rPr>
                <w:rFonts w:asciiTheme="minorHAnsi" w:hAnsiTheme="minorHAnsi" w:cstheme="minorHAnsi"/>
                <w:color w:val="auto"/>
                <w:sz w:val="22"/>
                <w:szCs w:val="22"/>
              </w:rPr>
              <w:t xml:space="preserve"> approaches to alternative provision for students not coping with the conventional timetable and classroom approaches.</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98A62" w14:textId="1DE0D9EA" w:rsidR="0083240F" w:rsidRPr="004D6E73" w:rsidRDefault="003D3597" w:rsidP="00047E9C">
            <w:pPr>
              <w:suppressAutoHyphens w:val="0"/>
              <w:autoSpaceDN/>
              <w:spacing w:before="60" w:after="120" w:line="240" w:lineRule="auto"/>
              <w:ind w:left="57" w:right="57"/>
              <w:rPr>
                <w:rFonts w:asciiTheme="minorHAnsi" w:hAnsiTheme="minorHAnsi" w:cstheme="minorHAnsi"/>
                <w:color w:val="auto"/>
                <w:sz w:val="22"/>
                <w:szCs w:val="22"/>
              </w:rPr>
            </w:pPr>
            <w:hyperlink r:id="rId16" w:history="1">
              <w:r w:rsidR="0041503C" w:rsidRPr="004D6E73">
                <w:rPr>
                  <w:rStyle w:val="Hyperlink"/>
                  <w:rFonts w:asciiTheme="minorHAnsi" w:hAnsiTheme="minorHAnsi" w:cstheme="minorHAnsi"/>
                  <w:sz w:val="22"/>
                  <w:szCs w:val="22"/>
                </w:rPr>
                <w:t>EEF Behavioural interventions statement</w:t>
              </w:r>
            </w:hyperlink>
          </w:p>
          <w:p w14:paraId="2A7D553D" w14:textId="4A2399A1" w:rsidR="0041503C" w:rsidRPr="004D6E73" w:rsidRDefault="0041503C" w:rsidP="00047E9C">
            <w:pPr>
              <w:suppressAutoHyphens w:val="0"/>
              <w:autoSpaceDN/>
              <w:spacing w:before="60" w:after="120" w:line="240" w:lineRule="auto"/>
              <w:ind w:left="57" w:right="57"/>
              <w:rPr>
                <w:rFonts w:asciiTheme="minorHAnsi" w:hAnsiTheme="minorHAnsi" w:cstheme="minorHAnsi"/>
                <w:color w:val="auto"/>
                <w:sz w:val="22"/>
                <w:szCs w:val="22"/>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83824" w14:textId="266ADF3F" w:rsidR="00E66558" w:rsidRPr="004D6E73" w:rsidRDefault="00557992" w:rsidP="00557992">
            <w:pPr>
              <w:rPr>
                <w:rFonts w:asciiTheme="minorHAnsi" w:hAnsiTheme="minorHAnsi" w:cstheme="minorHAnsi"/>
                <w:sz w:val="22"/>
                <w:szCs w:val="22"/>
              </w:rPr>
            </w:pPr>
            <w:r w:rsidRPr="004D6E73">
              <w:rPr>
                <w:rFonts w:asciiTheme="minorHAnsi" w:hAnsiTheme="minorHAnsi" w:cstheme="minorHAnsi"/>
                <w:color w:val="auto"/>
                <w:sz w:val="22"/>
                <w:szCs w:val="22"/>
              </w:rPr>
              <w:t>1,6</w:t>
            </w:r>
          </w:p>
        </w:tc>
      </w:tr>
      <w:tr w:rsidR="00E11D2C" w:rsidRPr="004D6E73" w14:paraId="363847FB" w14:textId="77777777" w:rsidTr="00FF19A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38F08" w14:textId="5B7168A8" w:rsidR="002815B6" w:rsidRPr="004D6E73" w:rsidRDefault="00C07AC7" w:rsidP="003010EE">
            <w:pPr>
              <w:pStyle w:val="TableRow"/>
              <w:spacing w:after="120"/>
              <w:ind w:left="29"/>
              <w:rPr>
                <w:rFonts w:asciiTheme="minorHAnsi" w:hAnsiTheme="minorHAnsi" w:cstheme="minorHAnsi"/>
                <w:iCs/>
                <w:color w:val="auto"/>
                <w:sz w:val="22"/>
                <w:szCs w:val="22"/>
                <w:lang w:val="en-US"/>
              </w:rPr>
            </w:pPr>
            <w:r w:rsidRPr="004D6E73">
              <w:rPr>
                <w:rFonts w:asciiTheme="minorHAnsi" w:hAnsiTheme="minorHAnsi" w:cstheme="minorHAnsi"/>
                <w:iCs/>
                <w:color w:val="auto"/>
                <w:sz w:val="22"/>
                <w:szCs w:val="22"/>
                <w:lang w:val="en-US"/>
              </w:rPr>
              <w:lastRenderedPageBreak/>
              <w:t>Continue to evaluate the pastoral staffing structure based on feedback from 2022-23 to ensure that all students are supported.</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B0C8D" w14:textId="55E8EAEC" w:rsidR="00E11D2C" w:rsidRPr="004D6E73" w:rsidRDefault="003D3597" w:rsidP="005C3EC2">
            <w:pPr>
              <w:suppressAutoHyphens w:val="0"/>
              <w:autoSpaceDN/>
              <w:spacing w:before="60" w:after="60" w:line="240" w:lineRule="auto"/>
              <w:ind w:left="57" w:right="57"/>
              <w:rPr>
                <w:rFonts w:asciiTheme="minorHAnsi" w:hAnsiTheme="minorHAnsi" w:cstheme="minorHAnsi"/>
                <w:color w:val="auto"/>
                <w:sz w:val="22"/>
                <w:szCs w:val="22"/>
              </w:rPr>
            </w:pPr>
            <w:hyperlink r:id="rId17" w:history="1">
              <w:r w:rsidR="0041503C" w:rsidRPr="004D6E73">
                <w:rPr>
                  <w:rStyle w:val="Hyperlink"/>
                  <w:rFonts w:asciiTheme="minorHAnsi" w:hAnsiTheme="minorHAnsi" w:cstheme="minorHAnsi"/>
                  <w:sz w:val="22"/>
                  <w:szCs w:val="22"/>
                </w:rPr>
                <w:t>EEF Mentoring Statement</w:t>
              </w:r>
            </w:hyperlink>
          </w:p>
          <w:p w14:paraId="11B2E4ED" w14:textId="5BE1BFE1" w:rsidR="0041503C" w:rsidRPr="004D6E73" w:rsidRDefault="0041503C" w:rsidP="005C3EC2">
            <w:pPr>
              <w:suppressAutoHyphens w:val="0"/>
              <w:autoSpaceDN/>
              <w:spacing w:before="60" w:after="60" w:line="240" w:lineRule="auto"/>
              <w:ind w:left="57" w:right="57"/>
              <w:rPr>
                <w:rFonts w:asciiTheme="minorHAnsi" w:hAnsiTheme="minorHAnsi" w:cstheme="minorHAnsi"/>
                <w:color w:val="auto"/>
                <w:sz w:val="22"/>
                <w:szCs w:val="22"/>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5025C" w14:textId="36CD2663" w:rsidR="00E11D2C" w:rsidRPr="004D6E73" w:rsidRDefault="00557992" w:rsidP="00180190">
            <w:pPr>
              <w:pStyle w:val="TableRowCentered"/>
              <w:ind w:left="0"/>
              <w:jc w:val="left"/>
              <w:rPr>
                <w:rFonts w:asciiTheme="minorHAnsi" w:hAnsiTheme="minorHAnsi" w:cstheme="minorHAnsi"/>
                <w:color w:val="auto"/>
                <w:sz w:val="22"/>
                <w:szCs w:val="22"/>
              </w:rPr>
            </w:pPr>
            <w:r w:rsidRPr="004D6E73">
              <w:rPr>
                <w:rFonts w:asciiTheme="minorHAnsi" w:hAnsiTheme="minorHAnsi" w:cstheme="minorHAnsi"/>
                <w:color w:val="auto"/>
                <w:sz w:val="22"/>
                <w:szCs w:val="22"/>
              </w:rPr>
              <w:t>1,6</w:t>
            </w:r>
          </w:p>
        </w:tc>
      </w:tr>
      <w:tr w:rsidR="00683AF6" w:rsidRPr="004D6E73" w14:paraId="7370C706" w14:textId="77777777" w:rsidTr="00FF19A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F111E" w14:textId="15CB3284" w:rsidR="00683AF6" w:rsidRPr="004D6E73" w:rsidRDefault="00FF28AD" w:rsidP="00790F6C">
            <w:pPr>
              <w:pStyle w:val="TableRow"/>
              <w:rPr>
                <w:rFonts w:asciiTheme="minorHAnsi" w:hAnsiTheme="minorHAnsi" w:cstheme="minorHAnsi"/>
                <w:color w:val="auto"/>
                <w:sz w:val="22"/>
                <w:szCs w:val="22"/>
              </w:rPr>
            </w:pPr>
            <w:r w:rsidRPr="004D6E73">
              <w:rPr>
                <w:rFonts w:asciiTheme="minorHAnsi" w:hAnsiTheme="minorHAnsi" w:cstheme="minorHAnsi"/>
                <w:color w:val="auto"/>
                <w:sz w:val="22"/>
                <w:szCs w:val="22"/>
              </w:rPr>
              <w:t>Evaluate and improve upon</w:t>
            </w:r>
            <w:r w:rsidR="004C5A88" w:rsidRPr="004D6E73">
              <w:rPr>
                <w:rFonts w:asciiTheme="minorHAnsi" w:hAnsiTheme="minorHAnsi" w:cstheme="minorHAnsi"/>
                <w:color w:val="auto"/>
                <w:sz w:val="22"/>
                <w:szCs w:val="22"/>
              </w:rPr>
              <w:t xml:space="preserve"> a comprehensive strategy for the personal development of all students including: Personal development lessons covering a wide range of pertinent topics, increased opportunities for student voice and leadership, a wider culture of praise, celebration, enrichment and collective worship for all.</w:t>
            </w:r>
            <w:r w:rsidR="00C07AC7" w:rsidRPr="004D6E73">
              <w:rPr>
                <w:rFonts w:asciiTheme="minorHAnsi" w:hAnsiTheme="minorHAnsi" w:cstheme="minorHAnsi"/>
                <w:color w:val="auto"/>
                <w:sz w:val="22"/>
                <w:szCs w:val="22"/>
              </w:rPr>
              <w:t xml:space="preserve"> In the year 23-24 this will include character education.</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076D5" w14:textId="7398E41B" w:rsidR="00683AF6" w:rsidRPr="004D6E73" w:rsidRDefault="00683AF6" w:rsidP="00C978B0">
            <w:pPr>
              <w:suppressAutoHyphens w:val="0"/>
              <w:autoSpaceDN/>
              <w:spacing w:before="60" w:after="120" w:line="240" w:lineRule="auto"/>
              <w:ind w:left="57"/>
              <w:rPr>
                <w:rFonts w:asciiTheme="minorHAnsi" w:hAnsiTheme="minorHAnsi" w:cstheme="minorHAnsi"/>
                <w:color w:val="auto"/>
                <w:sz w:val="22"/>
                <w:szCs w:val="22"/>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B6F12" w14:textId="02487167" w:rsidR="00683AF6" w:rsidRPr="004D6E73" w:rsidRDefault="00557992" w:rsidP="00683AF6">
            <w:pPr>
              <w:pStyle w:val="TableRowCentered"/>
              <w:ind w:left="0"/>
              <w:jc w:val="left"/>
              <w:rPr>
                <w:rFonts w:asciiTheme="minorHAnsi" w:hAnsiTheme="minorHAnsi" w:cstheme="minorHAnsi"/>
                <w:color w:val="auto"/>
                <w:sz w:val="22"/>
                <w:szCs w:val="22"/>
              </w:rPr>
            </w:pPr>
            <w:r w:rsidRPr="004D6E73">
              <w:rPr>
                <w:rFonts w:asciiTheme="minorHAnsi" w:hAnsiTheme="minorHAnsi" w:cstheme="minorHAnsi"/>
                <w:color w:val="auto"/>
                <w:sz w:val="22"/>
                <w:szCs w:val="22"/>
              </w:rPr>
              <w:t>1,5,6</w:t>
            </w:r>
          </w:p>
        </w:tc>
      </w:tr>
      <w:tr w:rsidR="004C5A88" w:rsidRPr="004D6E73" w14:paraId="3BA05833" w14:textId="77777777" w:rsidTr="00FF19A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99588" w14:textId="2599D9B7" w:rsidR="004C5A88" w:rsidRPr="004D6E73" w:rsidRDefault="004C5A88" w:rsidP="00790F6C">
            <w:pPr>
              <w:pStyle w:val="TableRow"/>
              <w:rPr>
                <w:rFonts w:asciiTheme="minorHAnsi" w:hAnsiTheme="minorHAnsi" w:cstheme="minorHAnsi"/>
                <w:color w:val="auto"/>
                <w:sz w:val="22"/>
                <w:szCs w:val="22"/>
              </w:rPr>
            </w:pPr>
            <w:r w:rsidRPr="004D6E73">
              <w:rPr>
                <w:rFonts w:asciiTheme="minorHAnsi" w:hAnsiTheme="minorHAnsi" w:cstheme="minorHAnsi"/>
                <w:color w:val="auto"/>
                <w:sz w:val="22"/>
                <w:szCs w:val="22"/>
              </w:rPr>
              <w:t>Provide students with a wider range of opportunities outside the classroom and support with funding of equipment/ resources within the classroom</w:t>
            </w:r>
            <w:r w:rsidR="00FF28AD" w:rsidRPr="004D6E73">
              <w:rPr>
                <w:rFonts w:asciiTheme="minorHAnsi" w:hAnsiTheme="minorHAnsi" w:cstheme="minorHAnsi"/>
                <w:color w:val="auto"/>
                <w:sz w:val="22"/>
                <w:szCs w:val="22"/>
              </w:rPr>
              <w: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A3EE1" w14:textId="77777777" w:rsidR="004C5A88" w:rsidRPr="004D6E73" w:rsidRDefault="004C5A88" w:rsidP="00C978B0">
            <w:pPr>
              <w:suppressAutoHyphens w:val="0"/>
              <w:autoSpaceDN/>
              <w:spacing w:before="60" w:after="120" w:line="240" w:lineRule="auto"/>
              <w:ind w:left="57"/>
              <w:rPr>
                <w:rFonts w:asciiTheme="minorHAnsi" w:hAnsiTheme="minorHAnsi" w:cstheme="minorHAnsi"/>
                <w:color w:val="auto"/>
                <w:sz w:val="22"/>
                <w:szCs w:val="22"/>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AE142" w14:textId="0966757A" w:rsidR="004C5A88" w:rsidRPr="004D6E73" w:rsidRDefault="00557992" w:rsidP="00683AF6">
            <w:pPr>
              <w:pStyle w:val="TableRowCentered"/>
              <w:ind w:left="0"/>
              <w:jc w:val="left"/>
              <w:rPr>
                <w:rFonts w:asciiTheme="minorHAnsi" w:hAnsiTheme="minorHAnsi" w:cstheme="minorHAnsi"/>
                <w:color w:val="auto"/>
                <w:sz w:val="22"/>
                <w:szCs w:val="22"/>
              </w:rPr>
            </w:pPr>
            <w:r w:rsidRPr="004D6E73">
              <w:rPr>
                <w:rFonts w:asciiTheme="minorHAnsi" w:hAnsiTheme="minorHAnsi" w:cstheme="minorHAnsi"/>
                <w:color w:val="auto"/>
                <w:sz w:val="22"/>
                <w:szCs w:val="22"/>
              </w:rPr>
              <w:t>1,3,5,6</w:t>
            </w:r>
          </w:p>
        </w:tc>
      </w:tr>
      <w:tr w:rsidR="00AE01E8" w:rsidRPr="004D6E73" w14:paraId="4DA18630" w14:textId="77777777" w:rsidTr="00FF19A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A5EE6" w14:textId="7765A286" w:rsidR="00AE01E8" w:rsidRPr="004D6E73" w:rsidRDefault="00C07AC7" w:rsidP="00790F6C">
            <w:pPr>
              <w:pStyle w:val="TableRow"/>
              <w:rPr>
                <w:rFonts w:asciiTheme="minorHAnsi" w:hAnsiTheme="minorHAnsi" w:cstheme="minorHAnsi"/>
                <w:color w:val="auto"/>
                <w:sz w:val="22"/>
                <w:szCs w:val="22"/>
              </w:rPr>
            </w:pPr>
            <w:r w:rsidRPr="004D6E73">
              <w:rPr>
                <w:rFonts w:asciiTheme="minorHAnsi" w:hAnsiTheme="minorHAnsi" w:cstheme="minorHAnsi"/>
                <w:color w:val="auto"/>
                <w:sz w:val="22"/>
                <w:szCs w:val="22"/>
              </w:rPr>
              <w:t>Implement a new behaviour curriculum to improve standards, along with the support of external behaviour mentors for targeted students</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75261" w14:textId="77777777" w:rsidR="00AE01E8" w:rsidRPr="004D6E73" w:rsidRDefault="00AE01E8" w:rsidP="00C978B0">
            <w:pPr>
              <w:suppressAutoHyphens w:val="0"/>
              <w:autoSpaceDN/>
              <w:spacing w:before="60" w:after="120" w:line="240" w:lineRule="auto"/>
              <w:ind w:left="57"/>
              <w:rPr>
                <w:rFonts w:asciiTheme="minorHAnsi" w:hAnsiTheme="minorHAnsi" w:cstheme="minorHAnsi"/>
                <w:color w:val="auto"/>
                <w:sz w:val="22"/>
                <w:szCs w:val="22"/>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02F41" w14:textId="5EF07010" w:rsidR="00AE01E8" w:rsidRPr="004D6E73" w:rsidRDefault="00AE01E8" w:rsidP="00683AF6">
            <w:pPr>
              <w:pStyle w:val="TableRowCentered"/>
              <w:ind w:left="0"/>
              <w:jc w:val="left"/>
              <w:rPr>
                <w:rFonts w:asciiTheme="minorHAnsi" w:hAnsiTheme="minorHAnsi" w:cstheme="minorHAnsi"/>
                <w:color w:val="auto"/>
                <w:sz w:val="22"/>
                <w:szCs w:val="22"/>
              </w:rPr>
            </w:pPr>
            <w:r w:rsidRPr="004D6E73">
              <w:rPr>
                <w:rFonts w:asciiTheme="minorHAnsi" w:hAnsiTheme="minorHAnsi" w:cstheme="minorHAnsi"/>
                <w:color w:val="auto"/>
                <w:sz w:val="22"/>
                <w:szCs w:val="22"/>
              </w:rPr>
              <w:t>7</w:t>
            </w:r>
          </w:p>
        </w:tc>
      </w:tr>
    </w:tbl>
    <w:p w14:paraId="2A7D5540" w14:textId="77777777" w:rsidR="00E66558" w:rsidRDefault="00E66558" w:rsidP="007368B1">
      <w:pPr>
        <w:spacing w:before="120" w:after="0"/>
        <w:rPr>
          <w:b/>
          <w:bCs/>
          <w:color w:val="104F75"/>
          <w:sz w:val="28"/>
          <w:szCs w:val="28"/>
        </w:rPr>
      </w:pPr>
    </w:p>
    <w:p w14:paraId="2A7D5541" w14:textId="2F8ECB19" w:rsidR="00E66558" w:rsidRDefault="009D71E8" w:rsidP="00120AB1">
      <w:r>
        <w:rPr>
          <w:b/>
          <w:bCs/>
          <w:color w:val="104F75"/>
          <w:sz w:val="28"/>
          <w:szCs w:val="28"/>
        </w:rPr>
        <w:t xml:space="preserve">Total budgeted cost: </w:t>
      </w:r>
      <w:r w:rsidR="00A2550B">
        <w:rPr>
          <w:b/>
          <w:bCs/>
          <w:color w:val="104F75"/>
          <w:sz w:val="28"/>
          <w:szCs w:val="28"/>
        </w:rPr>
        <w:t>£</w:t>
      </w:r>
      <w:r w:rsidR="003D3597">
        <w:rPr>
          <w:b/>
          <w:bCs/>
          <w:color w:val="104F75"/>
          <w:sz w:val="28"/>
          <w:szCs w:val="28"/>
        </w:rPr>
        <w:t>287554</w:t>
      </w:r>
      <w:bookmarkStart w:id="20" w:name="_GoBack"/>
      <w:bookmarkEnd w:id="20"/>
    </w:p>
    <w:bookmarkEnd w:id="19"/>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37FE1819" w:rsidR="00E66558" w:rsidRDefault="009D71E8">
      <w:r>
        <w:t>This details the impact that our pupil premium activity had on pupils in the 202</w:t>
      </w:r>
      <w:r w:rsidR="0073347C">
        <w:t>2</w:t>
      </w:r>
      <w:r>
        <w:t xml:space="preserve"> to </w:t>
      </w:r>
      <w:r w:rsidR="00FF28AD">
        <w:t>202</w:t>
      </w:r>
      <w:r w:rsidR="0073347C">
        <w:t xml:space="preserve">3 </w:t>
      </w:r>
      <w:r>
        <w:t xml:space="preserve">academic year. </w:t>
      </w:r>
    </w:p>
    <w:tbl>
      <w:tblPr>
        <w:tblW w:w="9486" w:type="dxa"/>
        <w:tblCellMar>
          <w:left w:w="10" w:type="dxa"/>
          <w:right w:w="10" w:type="dxa"/>
        </w:tblCellMar>
        <w:tblLook w:val="0000" w:firstRow="0" w:lastRow="0" w:firstColumn="0" w:lastColumn="0" w:noHBand="0" w:noVBand="0"/>
      </w:tblPr>
      <w:tblGrid>
        <w:gridCol w:w="1980"/>
        <w:gridCol w:w="7506"/>
      </w:tblGrid>
      <w:tr w:rsidR="00557992" w14:paraId="3A26AA4A" w14:textId="77777777" w:rsidTr="003711AF">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CBBB4" w14:textId="779975D3" w:rsidR="00557992" w:rsidRDefault="00FF28AD" w:rsidP="00CA798C">
            <w:pPr>
              <w:pStyle w:val="TableRow"/>
            </w:pPr>
            <w:bookmarkStart w:id="21" w:name="_Hlk116398788"/>
            <w:r>
              <w:t>Teaching</w:t>
            </w:r>
          </w:p>
        </w:tc>
        <w:tc>
          <w:tcPr>
            <w:tcW w:w="7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34E4A" w14:textId="6D1F5CC0" w:rsidR="003711AF" w:rsidRDefault="003711AF" w:rsidP="00CA798C">
            <w:pPr>
              <w:pStyle w:val="TableRow"/>
              <w:rPr>
                <w:sz w:val="22"/>
              </w:rPr>
            </w:pPr>
          </w:p>
          <w:tbl>
            <w:tblPr>
              <w:tblStyle w:val="TableGrid"/>
              <w:tblW w:w="6711" w:type="dxa"/>
              <w:tblLook w:val="04A0" w:firstRow="1" w:lastRow="0" w:firstColumn="1" w:lastColumn="0" w:noHBand="0" w:noVBand="1"/>
            </w:tblPr>
            <w:tblGrid>
              <w:gridCol w:w="2061"/>
              <w:gridCol w:w="1464"/>
              <w:gridCol w:w="1593"/>
              <w:gridCol w:w="1593"/>
            </w:tblGrid>
            <w:tr w:rsidR="0073347C" w:rsidRPr="003711AF" w14:paraId="3087AC6A" w14:textId="01903502" w:rsidTr="004D6E73">
              <w:trPr>
                <w:trHeight w:val="44"/>
              </w:trPr>
              <w:tc>
                <w:tcPr>
                  <w:tcW w:w="0" w:type="auto"/>
                  <w:vAlign w:val="center"/>
                </w:tcPr>
                <w:p w14:paraId="208124EE" w14:textId="77777777" w:rsidR="0073347C" w:rsidRPr="003711AF" w:rsidRDefault="0073347C" w:rsidP="004D6E73">
                  <w:pPr>
                    <w:spacing w:after="0"/>
                    <w:jc w:val="center"/>
                    <w:rPr>
                      <w:color w:val="000000" w:themeColor="text1"/>
                      <w:sz w:val="20"/>
                    </w:rPr>
                  </w:pPr>
                </w:p>
              </w:tc>
              <w:tc>
                <w:tcPr>
                  <w:tcW w:w="0" w:type="auto"/>
                  <w:vAlign w:val="center"/>
                </w:tcPr>
                <w:p w14:paraId="663B8B4F" w14:textId="77777777" w:rsidR="0073347C" w:rsidRPr="003711AF" w:rsidRDefault="0073347C" w:rsidP="004D6E73">
                  <w:pPr>
                    <w:spacing w:after="0"/>
                    <w:jc w:val="center"/>
                    <w:rPr>
                      <w:color w:val="000000" w:themeColor="text1"/>
                      <w:sz w:val="20"/>
                    </w:rPr>
                  </w:pPr>
                  <w:r w:rsidRPr="003711AF">
                    <w:rPr>
                      <w:color w:val="000000" w:themeColor="text1"/>
                      <w:sz w:val="20"/>
                    </w:rPr>
                    <w:t>2018-2019</w:t>
                  </w:r>
                </w:p>
              </w:tc>
              <w:tc>
                <w:tcPr>
                  <w:tcW w:w="0" w:type="auto"/>
                  <w:vAlign w:val="center"/>
                </w:tcPr>
                <w:p w14:paraId="694FAC08" w14:textId="77777777" w:rsidR="0073347C" w:rsidRPr="00C07AC7" w:rsidRDefault="0073347C" w:rsidP="004D6E73">
                  <w:pPr>
                    <w:spacing w:after="0"/>
                    <w:jc w:val="center"/>
                    <w:rPr>
                      <w:color w:val="auto"/>
                      <w:sz w:val="20"/>
                    </w:rPr>
                  </w:pPr>
                  <w:r w:rsidRPr="00C07AC7">
                    <w:rPr>
                      <w:color w:val="auto"/>
                      <w:sz w:val="20"/>
                    </w:rPr>
                    <w:t>Exams 2022</w:t>
                  </w:r>
                </w:p>
              </w:tc>
              <w:tc>
                <w:tcPr>
                  <w:tcW w:w="0" w:type="auto"/>
                </w:tcPr>
                <w:p w14:paraId="144E2F39" w14:textId="1B0D8C43" w:rsidR="0073347C" w:rsidRPr="00C07AC7" w:rsidRDefault="0073347C" w:rsidP="004D6E73">
                  <w:pPr>
                    <w:spacing w:after="0"/>
                    <w:jc w:val="center"/>
                    <w:rPr>
                      <w:color w:val="0070C0"/>
                      <w:sz w:val="20"/>
                    </w:rPr>
                  </w:pPr>
                  <w:r w:rsidRPr="00C07AC7">
                    <w:rPr>
                      <w:color w:val="0070C0"/>
                      <w:sz w:val="20"/>
                    </w:rPr>
                    <w:t>Exams 2023</w:t>
                  </w:r>
                </w:p>
              </w:tc>
            </w:tr>
            <w:tr w:rsidR="00C07AC7" w:rsidRPr="003711AF" w14:paraId="1E30273C" w14:textId="76AF2D19" w:rsidTr="004D6E73">
              <w:trPr>
                <w:trHeight w:val="44"/>
              </w:trPr>
              <w:tc>
                <w:tcPr>
                  <w:tcW w:w="0" w:type="auto"/>
                  <w:vAlign w:val="center"/>
                </w:tcPr>
                <w:p w14:paraId="5FEE1B7F" w14:textId="4E693767" w:rsidR="00C07AC7" w:rsidRPr="003711AF" w:rsidRDefault="00C07AC7" w:rsidP="004D6E73">
                  <w:pPr>
                    <w:spacing w:after="0"/>
                    <w:jc w:val="center"/>
                    <w:rPr>
                      <w:color w:val="000000" w:themeColor="text1"/>
                      <w:sz w:val="20"/>
                    </w:rPr>
                  </w:pPr>
                  <w:r w:rsidRPr="003711AF">
                    <w:rPr>
                      <w:color w:val="000000" w:themeColor="text1"/>
                      <w:sz w:val="20"/>
                    </w:rPr>
                    <w:t>Progress 8</w:t>
                  </w:r>
                </w:p>
              </w:tc>
              <w:tc>
                <w:tcPr>
                  <w:tcW w:w="0" w:type="auto"/>
                  <w:vAlign w:val="center"/>
                </w:tcPr>
                <w:p w14:paraId="76FA3FD8" w14:textId="77777777" w:rsidR="00C07AC7" w:rsidRPr="003711AF" w:rsidRDefault="00C07AC7" w:rsidP="004D6E73">
                  <w:pPr>
                    <w:spacing w:after="0"/>
                    <w:jc w:val="center"/>
                    <w:rPr>
                      <w:color w:val="000000" w:themeColor="text1"/>
                      <w:sz w:val="20"/>
                    </w:rPr>
                  </w:pPr>
                  <w:r w:rsidRPr="003711AF">
                    <w:rPr>
                      <w:color w:val="000000" w:themeColor="text1"/>
                      <w:sz w:val="20"/>
                    </w:rPr>
                    <w:t>+0.2</w:t>
                  </w:r>
                </w:p>
              </w:tc>
              <w:tc>
                <w:tcPr>
                  <w:tcW w:w="0" w:type="auto"/>
                  <w:vAlign w:val="center"/>
                </w:tcPr>
                <w:p w14:paraId="21FDBC5E" w14:textId="77777777" w:rsidR="00C07AC7" w:rsidRPr="00C07AC7" w:rsidRDefault="00C07AC7" w:rsidP="004D6E73">
                  <w:pPr>
                    <w:spacing w:after="0"/>
                    <w:jc w:val="center"/>
                    <w:rPr>
                      <w:color w:val="auto"/>
                      <w:sz w:val="20"/>
                    </w:rPr>
                  </w:pPr>
                  <w:r w:rsidRPr="00C07AC7">
                    <w:rPr>
                      <w:color w:val="auto"/>
                      <w:sz w:val="20"/>
                    </w:rPr>
                    <w:t>+0.37</w:t>
                  </w:r>
                </w:p>
              </w:tc>
              <w:tc>
                <w:tcPr>
                  <w:tcW w:w="0" w:type="auto"/>
                </w:tcPr>
                <w:p w14:paraId="39620BC6" w14:textId="079AF87A" w:rsidR="00C07AC7" w:rsidRPr="00C07AC7" w:rsidRDefault="00C07AC7" w:rsidP="004D6E73">
                  <w:pPr>
                    <w:spacing w:after="0"/>
                    <w:jc w:val="center"/>
                    <w:rPr>
                      <w:color w:val="0070C0"/>
                      <w:sz w:val="20"/>
                    </w:rPr>
                  </w:pPr>
                  <w:r w:rsidRPr="00C07AC7">
                    <w:rPr>
                      <w:rStyle w:val="normaltextrun"/>
                      <w:rFonts w:ascii="Calibri" w:hAnsi="Calibri" w:cs="Calibri"/>
                      <w:color w:val="0070C0"/>
                      <w:sz w:val="20"/>
                      <w:szCs w:val="20"/>
                    </w:rPr>
                    <w:t>+0.04</w:t>
                  </w:r>
                  <w:r w:rsidRPr="00C07AC7">
                    <w:rPr>
                      <w:rStyle w:val="eop"/>
                      <w:rFonts w:ascii="Calibri" w:hAnsi="Calibri" w:cs="Calibri"/>
                      <w:color w:val="0070C0"/>
                      <w:sz w:val="20"/>
                      <w:szCs w:val="20"/>
                    </w:rPr>
                    <w:t> </w:t>
                  </w:r>
                </w:p>
              </w:tc>
            </w:tr>
            <w:tr w:rsidR="00C07AC7" w:rsidRPr="003711AF" w14:paraId="01F21077" w14:textId="61736B2A" w:rsidTr="004D6E73">
              <w:trPr>
                <w:trHeight w:val="44"/>
              </w:trPr>
              <w:tc>
                <w:tcPr>
                  <w:tcW w:w="0" w:type="auto"/>
                  <w:vAlign w:val="center"/>
                </w:tcPr>
                <w:p w14:paraId="385DEE68" w14:textId="77777777" w:rsidR="00C07AC7" w:rsidRPr="003711AF" w:rsidRDefault="00C07AC7" w:rsidP="004D6E73">
                  <w:pPr>
                    <w:spacing w:after="0"/>
                    <w:jc w:val="center"/>
                    <w:rPr>
                      <w:color w:val="000000" w:themeColor="text1"/>
                      <w:sz w:val="20"/>
                    </w:rPr>
                  </w:pPr>
                  <w:r w:rsidRPr="003711AF">
                    <w:rPr>
                      <w:color w:val="000000" w:themeColor="text1"/>
                      <w:sz w:val="20"/>
                    </w:rPr>
                    <w:t>Attainment 8</w:t>
                  </w:r>
                </w:p>
              </w:tc>
              <w:tc>
                <w:tcPr>
                  <w:tcW w:w="0" w:type="auto"/>
                  <w:vAlign w:val="center"/>
                </w:tcPr>
                <w:p w14:paraId="57F04760" w14:textId="77777777" w:rsidR="00C07AC7" w:rsidRPr="003711AF" w:rsidRDefault="00C07AC7" w:rsidP="004D6E73">
                  <w:pPr>
                    <w:spacing w:after="0"/>
                    <w:jc w:val="center"/>
                    <w:rPr>
                      <w:color w:val="000000" w:themeColor="text1"/>
                      <w:sz w:val="20"/>
                    </w:rPr>
                  </w:pPr>
                  <w:r w:rsidRPr="003711AF">
                    <w:rPr>
                      <w:color w:val="000000" w:themeColor="text1"/>
                      <w:sz w:val="20"/>
                    </w:rPr>
                    <w:t>50.7</w:t>
                  </w:r>
                </w:p>
              </w:tc>
              <w:tc>
                <w:tcPr>
                  <w:tcW w:w="0" w:type="auto"/>
                  <w:vAlign w:val="center"/>
                </w:tcPr>
                <w:p w14:paraId="6843892A" w14:textId="77777777" w:rsidR="00C07AC7" w:rsidRPr="00C07AC7" w:rsidRDefault="00C07AC7" w:rsidP="004D6E73">
                  <w:pPr>
                    <w:spacing w:after="0"/>
                    <w:jc w:val="center"/>
                    <w:rPr>
                      <w:color w:val="auto"/>
                      <w:sz w:val="20"/>
                    </w:rPr>
                  </w:pPr>
                  <w:r w:rsidRPr="00C07AC7">
                    <w:rPr>
                      <w:color w:val="auto"/>
                      <w:sz w:val="20"/>
                    </w:rPr>
                    <w:t>52.8</w:t>
                  </w:r>
                </w:p>
              </w:tc>
              <w:tc>
                <w:tcPr>
                  <w:tcW w:w="0" w:type="auto"/>
                </w:tcPr>
                <w:p w14:paraId="23E30E4A" w14:textId="5F3B107F" w:rsidR="00C07AC7" w:rsidRPr="00C07AC7" w:rsidRDefault="00C07AC7" w:rsidP="004D6E73">
                  <w:pPr>
                    <w:spacing w:after="0"/>
                    <w:jc w:val="center"/>
                    <w:rPr>
                      <w:color w:val="0070C0"/>
                      <w:sz w:val="20"/>
                    </w:rPr>
                  </w:pPr>
                  <w:r w:rsidRPr="00C07AC7">
                    <w:rPr>
                      <w:rStyle w:val="normaltextrun"/>
                      <w:rFonts w:ascii="Calibri" w:hAnsi="Calibri" w:cs="Calibri"/>
                      <w:color w:val="0070C0"/>
                      <w:sz w:val="20"/>
                      <w:szCs w:val="20"/>
                    </w:rPr>
                    <w:t>44.59</w:t>
                  </w:r>
                  <w:r w:rsidRPr="00C07AC7">
                    <w:rPr>
                      <w:rStyle w:val="eop"/>
                      <w:rFonts w:ascii="Calibri" w:hAnsi="Calibri" w:cs="Calibri"/>
                      <w:color w:val="0070C0"/>
                      <w:sz w:val="20"/>
                      <w:szCs w:val="20"/>
                    </w:rPr>
                    <w:t> </w:t>
                  </w:r>
                </w:p>
              </w:tc>
            </w:tr>
            <w:tr w:rsidR="00C07AC7" w:rsidRPr="003711AF" w14:paraId="49C5173D" w14:textId="31F573AA" w:rsidTr="004D6E73">
              <w:trPr>
                <w:trHeight w:val="44"/>
              </w:trPr>
              <w:tc>
                <w:tcPr>
                  <w:tcW w:w="0" w:type="auto"/>
                  <w:vAlign w:val="center"/>
                </w:tcPr>
                <w:p w14:paraId="3E6E508A" w14:textId="79C67C1D" w:rsidR="00C07AC7" w:rsidRPr="003711AF" w:rsidRDefault="00C07AC7" w:rsidP="004D6E73">
                  <w:pPr>
                    <w:spacing w:after="0"/>
                    <w:jc w:val="center"/>
                    <w:rPr>
                      <w:color w:val="000000" w:themeColor="text1"/>
                      <w:sz w:val="20"/>
                    </w:rPr>
                  </w:pPr>
                  <w:r w:rsidRPr="003711AF">
                    <w:rPr>
                      <w:color w:val="000000" w:themeColor="text1"/>
                      <w:sz w:val="20"/>
                    </w:rPr>
                    <w:t xml:space="preserve">9-4 </w:t>
                  </w:r>
                  <w:proofErr w:type="spellStart"/>
                  <w:r w:rsidRPr="003711AF">
                    <w:rPr>
                      <w:color w:val="000000" w:themeColor="text1"/>
                      <w:sz w:val="20"/>
                    </w:rPr>
                    <w:t>Eng</w:t>
                  </w:r>
                  <w:proofErr w:type="spellEnd"/>
                  <w:r>
                    <w:rPr>
                      <w:color w:val="000000" w:themeColor="text1"/>
                      <w:sz w:val="20"/>
                    </w:rPr>
                    <w:t>/</w:t>
                  </w:r>
                  <w:r w:rsidRPr="003711AF">
                    <w:rPr>
                      <w:color w:val="000000" w:themeColor="text1"/>
                      <w:sz w:val="20"/>
                    </w:rPr>
                    <w:t>Ma</w:t>
                  </w:r>
                </w:p>
              </w:tc>
              <w:tc>
                <w:tcPr>
                  <w:tcW w:w="0" w:type="auto"/>
                  <w:vAlign w:val="center"/>
                </w:tcPr>
                <w:p w14:paraId="1605D4E9" w14:textId="77777777" w:rsidR="00C07AC7" w:rsidRPr="003711AF" w:rsidRDefault="00C07AC7" w:rsidP="004D6E73">
                  <w:pPr>
                    <w:spacing w:after="0"/>
                    <w:jc w:val="center"/>
                    <w:rPr>
                      <w:color w:val="000000" w:themeColor="text1"/>
                      <w:sz w:val="20"/>
                    </w:rPr>
                  </w:pPr>
                  <w:r w:rsidRPr="003711AF">
                    <w:rPr>
                      <w:color w:val="000000" w:themeColor="text1"/>
                      <w:sz w:val="20"/>
                    </w:rPr>
                    <w:t>69%</w:t>
                  </w:r>
                </w:p>
              </w:tc>
              <w:tc>
                <w:tcPr>
                  <w:tcW w:w="0" w:type="auto"/>
                  <w:vAlign w:val="center"/>
                </w:tcPr>
                <w:p w14:paraId="13A8B219" w14:textId="77777777" w:rsidR="00C07AC7" w:rsidRPr="00C07AC7" w:rsidRDefault="00C07AC7" w:rsidP="004D6E73">
                  <w:pPr>
                    <w:spacing w:after="0"/>
                    <w:jc w:val="center"/>
                    <w:rPr>
                      <w:color w:val="auto"/>
                      <w:sz w:val="20"/>
                    </w:rPr>
                  </w:pPr>
                  <w:r w:rsidRPr="00C07AC7">
                    <w:rPr>
                      <w:color w:val="auto"/>
                      <w:sz w:val="20"/>
                    </w:rPr>
                    <w:t>77.3%</w:t>
                  </w:r>
                </w:p>
              </w:tc>
              <w:tc>
                <w:tcPr>
                  <w:tcW w:w="0" w:type="auto"/>
                </w:tcPr>
                <w:p w14:paraId="3063204B" w14:textId="77F4D078" w:rsidR="00C07AC7" w:rsidRPr="00C07AC7" w:rsidRDefault="00C07AC7" w:rsidP="004D6E73">
                  <w:pPr>
                    <w:spacing w:after="0"/>
                    <w:jc w:val="center"/>
                    <w:rPr>
                      <w:color w:val="0070C0"/>
                      <w:sz w:val="20"/>
                    </w:rPr>
                  </w:pPr>
                  <w:r w:rsidRPr="00C07AC7">
                    <w:rPr>
                      <w:rStyle w:val="normaltextrun"/>
                      <w:rFonts w:ascii="Calibri" w:hAnsi="Calibri" w:cs="Calibri"/>
                      <w:color w:val="0070C0"/>
                      <w:sz w:val="20"/>
                      <w:szCs w:val="20"/>
                    </w:rPr>
                    <w:t>62.3%</w:t>
                  </w:r>
                  <w:r w:rsidRPr="00C07AC7">
                    <w:rPr>
                      <w:rStyle w:val="eop"/>
                      <w:rFonts w:ascii="Calibri" w:hAnsi="Calibri" w:cs="Calibri"/>
                      <w:color w:val="0070C0"/>
                      <w:sz w:val="20"/>
                      <w:szCs w:val="20"/>
                    </w:rPr>
                    <w:t> </w:t>
                  </w:r>
                </w:p>
              </w:tc>
            </w:tr>
            <w:tr w:rsidR="00C07AC7" w:rsidRPr="003711AF" w14:paraId="1812B099" w14:textId="47A71800" w:rsidTr="004D6E73">
              <w:trPr>
                <w:trHeight w:val="44"/>
              </w:trPr>
              <w:tc>
                <w:tcPr>
                  <w:tcW w:w="0" w:type="auto"/>
                  <w:vAlign w:val="center"/>
                </w:tcPr>
                <w:p w14:paraId="291954CE" w14:textId="2FC0A218" w:rsidR="00C07AC7" w:rsidRPr="003711AF" w:rsidRDefault="00C07AC7" w:rsidP="004D6E73">
                  <w:pPr>
                    <w:spacing w:after="0"/>
                    <w:jc w:val="center"/>
                    <w:rPr>
                      <w:color w:val="000000" w:themeColor="text1"/>
                      <w:sz w:val="20"/>
                    </w:rPr>
                  </w:pPr>
                  <w:r w:rsidRPr="003711AF">
                    <w:rPr>
                      <w:color w:val="000000" w:themeColor="text1"/>
                      <w:sz w:val="20"/>
                    </w:rPr>
                    <w:t xml:space="preserve">9-5 </w:t>
                  </w:r>
                  <w:proofErr w:type="spellStart"/>
                  <w:r w:rsidRPr="003711AF">
                    <w:rPr>
                      <w:color w:val="000000" w:themeColor="text1"/>
                      <w:sz w:val="20"/>
                    </w:rPr>
                    <w:t>Eng</w:t>
                  </w:r>
                  <w:proofErr w:type="spellEnd"/>
                  <w:r>
                    <w:rPr>
                      <w:color w:val="000000" w:themeColor="text1"/>
                      <w:sz w:val="20"/>
                    </w:rPr>
                    <w:t xml:space="preserve"> /</w:t>
                  </w:r>
                  <w:r w:rsidRPr="003711AF">
                    <w:rPr>
                      <w:color w:val="000000" w:themeColor="text1"/>
                      <w:sz w:val="20"/>
                    </w:rPr>
                    <w:t>Ma</w:t>
                  </w:r>
                </w:p>
              </w:tc>
              <w:tc>
                <w:tcPr>
                  <w:tcW w:w="0" w:type="auto"/>
                  <w:vAlign w:val="center"/>
                </w:tcPr>
                <w:p w14:paraId="19094400" w14:textId="77777777" w:rsidR="00C07AC7" w:rsidRPr="003711AF" w:rsidRDefault="00C07AC7" w:rsidP="004D6E73">
                  <w:pPr>
                    <w:spacing w:after="0"/>
                    <w:jc w:val="center"/>
                    <w:rPr>
                      <w:color w:val="000000" w:themeColor="text1"/>
                      <w:sz w:val="20"/>
                    </w:rPr>
                  </w:pPr>
                  <w:r w:rsidRPr="003711AF">
                    <w:rPr>
                      <w:color w:val="000000" w:themeColor="text1"/>
                      <w:sz w:val="20"/>
                    </w:rPr>
                    <w:t>53%</w:t>
                  </w:r>
                </w:p>
              </w:tc>
              <w:tc>
                <w:tcPr>
                  <w:tcW w:w="0" w:type="auto"/>
                  <w:vAlign w:val="center"/>
                </w:tcPr>
                <w:p w14:paraId="2ED0B73F" w14:textId="77777777" w:rsidR="00C07AC7" w:rsidRPr="00C07AC7" w:rsidRDefault="00C07AC7" w:rsidP="004D6E73">
                  <w:pPr>
                    <w:spacing w:after="0"/>
                    <w:jc w:val="center"/>
                    <w:rPr>
                      <w:color w:val="auto"/>
                      <w:sz w:val="20"/>
                    </w:rPr>
                  </w:pPr>
                  <w:r w:rsidRPr="00C07AC7">
                    <w:rPr>
                      <w:color w:val="auto"/>
                      <w:sz w:val="20"/>
                    </w:rPr>
                    <w:t>55.8%</w:t>
                  </w:r>
                </w:p>
              </w:tc>
              <w:tc>
                <w:tcPr>
                  <w:tcW w:w="0" w:type="auto"/>
                </w:tcPr>
                <w:p w14:paraId="705084A6" w14:textId="05EE80DC" w:rsidR="00C07AC7" w:rsidRPr="00C07AC7" w:rsidRDefault="00C07AC7" w:rsidP="004D6E73">
                  <w:pPr>
                    <w:spacing w:after="0"/>
                    <w:jc w:val="center"/>
                    <w:rPr>
                      <w:color w:val="0070C0"/>
                      <w:sz w:val="20"/>
                    </w:rPr>
                  </w:pPr>
                  <w:r w:rsidRPr="00C07AC7">
                    <w:rPr>
                      <w:rStyle w:val="normaltextrun"/>
                      <w:rFonts w:ascii="Calibri" w:hAnsi="Calibri" w:cs="Calibri"/>
                      <w:color w:val="0070C0"/>
                      <w:sz w:val="20"/>
                      <w:szCs w:val="20"/>
                    </w:rPr>
                    <w:t>35.8%</w:t>
                  </w:r>
                  <w:r w:rsidRPr="00C07AC7">
                    <w:rPr>
                      <w:rStyle w:val="eop"/>
                      <w:rFonts w:ascii="Calibri" w:hAnsi="Calibri" w:cs="Calibri"/>
                      <w:color w:val="0070C0"/>
                      <w:sz w:val="20"/>
                      <w:szCs w:val="20"/>
                    </w:rPr>
                    <w:t> </w:t>
                  </w:r>
                </w:p>
              </w:tc>
            </w:tr>
            <w:tr w:rsidR="00C07AC7" w:rsidRPr="003711AF" w14:paraId="163A4F5A" w14:textId="7D73A8DA" w:rsidTr="004D6E73">
              <w:trPr>
                <w:trHeight w:val="44"/>
              </w:trPr>
              <w:tc>
                <w:tcPr>
                  <w:tcW w:w="0" w:type="auto"/>
                  <w:vAlign w:val="center"/>
                </w:tcPr>
                <w:p w14:paraId="200DA6B7" w14:textId="77777777" w:rsidR="00C07AC7" w:rsidRPr="003711AF" w:rsidRDefault="00C07AC7" w:rsidP="004D6E73">
                  <w:pPr>
                    <w:spacing w:after="0"/>
                    <w:jc w:val="center"/>
                    <w:rPr>
                      <w:color w:val="000000" w:themeColor="text1"/>
                      <w:sz w:val="20"/>
                    </w:rPr>
                  </w:pPr>
                  <w:proofErr w:type="spellStart"/>
                  <w:r w:rsidRPr="003711AF">
                    <w:rPr>
                      <w:color w:val="000000" w:themeColor="text1"/>
                      <w:sz w:val="20"/>
                    </w:rPr>
                    <w:t>Ebacc</w:t>
                  </w:r>
                  <w:proofErr w:type="spellEnd"/>
                  <w:r w:rsidRPr="003711AF">
                    <w:rPr>
                      <w:color w:val="000000" w:themeColor="text1"/>
                      <w:sz w:val="20"/>
                    </w:rPr>
                    <w:t xml:space="preserve"> 9-4</w:t>
                  </w:r>
                </w:p>
              </w:tc>
              <w:tc>
                <w:tcPr>
                  <w:tcW w:w="0" w:type="auto"/>
                  <w:vAlign w:val="center"/>
                </w:tcPr>
                <w:p w14:paraId="07420F0E" w14:textId="77777777" w:rsidR="00C07AC7" w:rsidRPr="003711AF" w:rsidRDefault="00C07AC7" w:rsidP="004D6E73">
                  <w:pPr>
                    <w:spacing w:after="0"/>
                    <w:jc w:val="center"/>
                    <w:rPr>
                      <w:color w:val="000000" w:themeColor="text1"/>
                      <w:sz w:val="20"/>
                    </w:rPr>
                  </w:pPr>
                  <w:r w:rsidRPr="003711AF">
                    <w:rPr>
                      <w:color w:val="000000" w:themeColor="text1"/>
                      <w:sz w:val="20"/>
                    </w:rPr>
                    <w:t>26%</w:t>
                  </w:r>
                </w:p>
              </w:tc>
              <w:tc>
                <w:tcPr>
                  <w:tcW w:w="0" w:type="auto"/>
                  <w:vAlign w:val="center"/>
                </w:tcPr>
                <w:p w14:paraId="2315CBDB" w14:textId="77777777" w:rsidR="00C07AC7" w:rsidRPr="00C07AC7" w:rsidRDefault="00C07AC7" w:rsidP="004D6E73">
                  <w:pPr>
                    <w:spacing w:after="0"/>
                    <w:jc w:val="center"/>
                    <w:rPr>
                      <w:color w:val="auto"/>
                      <w:sz w:val="20"/>
                    </w:rPr>
                  </w:pPr>
                  <w:r w:rsidRPr="00C07AC7">
                    <w:rPr>
                      <w:color w:val="auto"/>
                      <w:sz w:val="20"/>
                    </w:rPr>
                    <w:t>11.7%</w:t>
                  </w:r>
                </w:p>
              </w:tc>
              <w:tc>
                <w:tcPr>
                  <w:tcW w:w="0" w:type="auto"/>
                </w:tcPr>
                <w:p w14:paraId="5921A310" w14:textId="29D235BD" w:rsidR="00C07AC7" w:rsidRPr="00C07AC7" w:rsidRDefault="00C07AC7" w:rsidP="004D6E73">
                  <w:pPr>
                    <w:spacing w:after="0"/>
                    <w:jc w:val="center"/>
                    <w:rPr>
                      <w:color w:val="0070C0"/>
                      <w:sz w:val="20"/>
                    </w:rPr>
                  </w:pPr>
                  <w:r w:rsidRPr="00C07AC7">
                    <w:rPr>
                      <w:rStyle w:val="normaltextrun"/>
                      <w:rFonts w:ascii="Calibri" w:hAnsi="Calibri" w:cs="Calibri"/>
                      <w:color w:val="0070C0"/>
                      <w:sz w:val="20"/>
                      <w:szCs w:val="20"/>
                    </w:rPr>
                    <w:t>4.6%</w:t>
                  </w:r>
                  <w:r w:rsidRPr="00C07AC7">
                    <w:rPr>
                      <w:rStyle w:val="eop"/>
                      <w:rFonts w:ascii="Calibri" w:hAnsi="Calibri" w:cs="Calibri"/>
                      <w:color w:val="0070C0"/>
                      <w:sz w:val="20"/>
                      <w:szCs w:val="20"/>
                    </w:rPr>
                    <w:t> </w:t>
                  </w:r>
                </w:p>
              </w:tc>
            </w:tr>
            <w:tr w:rsidR="00C07AC7" w:rsidRPr="003711AF" w14:paraId="6378687A" w14:textId="2C598A48" w:rsidTr="004D6E73">
              <w:trPr>
                <w:trHeight w:val="44"/>
              </w:trPr>
              <w:tc>
                <w:tcPr>
                  <w:tcW w:w="0" w:type="auto"/>
                  <w:vAlign w:val="center"/>
                </w:tcPr>
                <w:p w14:paraId="5602EB6A" w14:textId="77777777" w:rsidR="00C07AC7" w:rsidRPr="003711AF" w:rsidRDefault="00C07AC7" w:rsidP="004D6E73">
                  <w:pPr>
                    <w:spacing w:after="0"/>
                    <w:jc w:val="center"/>
                    <w:rPr>
                      <w:color w:val="000000" w:themeColor="text1"/>
                      <w:sz w:val="20"/>
                    </w:rPr>
                  </w:pPr>
                  <w:proofErr w:type="spellStart"/>
                  <w:r w:rsidRPr="003711AF">
                    <w:rPr>
                      <w:color w:val="000000" w:themeColor="text1"/>
                      <w:sz w:val="20"/>
                    </w:rPr>
                    <w:t>Ebacc</w:t>
                  </w:r>
                  <w:proofErr w:type="spellEnd"/>
                  <w:r w:rsidRPr="003711AF">
                    <w:rPr>
                      <w:color w:val="000000" w:themeColor="text1"/>
                      <w:sz w:val="20"/>
                    </w:rPr>
                    <w:t xml:space="preserve"> 9-5</w:t>
                  </w:r>
                </w:p>
              </w:tc>
              <w:tc>
                <w:tcPr>
                  <w:tcW w:w="0" w:type="auto"/>
                  <w:vAlign w:val="center"/>
                </w:tcPr>
                <w:p w14:paraId="3BE5E665" w14:textId="77777777" w:rsidR="00C07AC7" w:rsidRPr="003711AF" w:rsidRDefault="00C07AC7" w:rsidP="004D6E73">
                  <w:pPr>
                    <w:spacing w:after="0"/>
                    <w:jc w:val="center"/>
                    <w:rPr>
                      <w:color w:val="000000" w:themeColor="text1"/>
                      <w:sz w:val="20"/>
                    </w:rPr>
                  </w:pPr>
                  <w:r w:rsidRPr="003711AF">
                    <w:rPr>
                      <w:color w:val="000000" w:themeColor="text1"/>
                      <w:sz w:val="20"/>
                    </w:rPr>
                    <w:t>15%</w:t>
                  </w:r>
                </w:p>
              </w:tc>
              <w:tc>
                <w:tcPr>
                  <w:tcW w:w="0" w:type="auto"/>
                  <w:vAlign w:val="center"/>
                </w:tcPr>
                <w:p w14:paraId="4CB55486" w14:textId="77777777" w:rsidR="00C07AC7" w:rsidRPr="00C07AC7" w:rsidRDefault="00C07AC7" w:rsidP="004D6E73">
                  <w:pPr>
                    <w:spacing w:after="0"/>
                    <w:jc w:val="center"/>
                    <w:rPr>
                      <w:color w:val="auto"/>
                      <w:sz w:val="20"/>
                    </w:rPr>
                  </w:pPr>
                  <w:r w:rsidRPr="00C07AC7">
                    <w:rPr>
                      <w:color w:val="auto"/>
                      <w:sz w:val="20"/>
                    </w:rPr>
                    <w:t>9.7%</w:t>
                  </w:r>
                </w:p>
              </w:tc>
              <w:tc>
                <w:tcPr>
                  <w:tcW w:w="0" w:type="auto"/>
                </w:tcPr>
                <w:p w14:paraId="021AB8BD" w14:textId="006467E2" w:rsidR="00C07AC7" w:rsidRPr="00C07AC7" w:rsidRDefault="00C07AC7" w:rsidP="004D6E73">
                  <w:pPr>
                    <w:spacing w:after="0"/>
                    <w:jc w:val="center"/>
                    <w:rPr>
                      <w:color w:val="0070C0"/>
                      <w:sz w:val="20"/>
                    </w:rPr>
                  </w:pPr>
                  <w:r w:rsidRPr="00C07AC7">
                    <w:rPr>
                      <w:rStyle w:val="normaltextrun"/>
                      <w:rFonts w:ascii="Calibri" w:hAnsi="Calibri" w:cs="Calibri"/>
                      <w:color w:val="0070C0"/>
                      <w:sz w:val="20"/>
                      <w:szCs w:val="20"/>
                    </w:rPr>
                    <w:t>4.6%</w:t>
                  </w:r>
                  <w:r w:rsidRPr="00C07AC7">
                    <w:rPr>
                      <w:rStyle w:val="eop"/>
                      <w:rFonts w:ascii="Calibri" w:hAnsi="Calibri" w:cs="Calibri"/>
                      <w:color w:val="0070C0"/>
                      <w:sz w:val="20"/>
                      <w:szCs w:val="20"/>
                    </w:rPr>
                    <w:t> </w:t>
                  </w:r>
                </w:p>
              </w:tc>
            </w:tr>
            <w:tr w:rsidR="00C07AC7" w:rsidRPr="003711AF" w14:paraId="7374199E" w14:textId="28CBF4B2" w:rsidTr="004D6E73">
              <w:trPr>
                <w:trHeight w:val="44"/>
              </w:trPr>
              <w:tc>
                <w:tcPr>
                  <w:tcW w:w="0" w:type="auto"/>
                  <w:vAlign w:val="center"/>
                </w:tcPr>
                <w:p w14:paraId="1D4CFB52" w14:textId="77777777" w:rsidR="00C07AC7" w:rsidRPr="003711AF" w:rsidRDefault="00C07AC7" w:rsidP="004D6E73">
                  <w:pPr>
                    <w:spacing w:after="0"/>
                    <w:jc w:val="center"/>
                    <w:rPr>
                      <w:color w:val="000000" w:themeColor="text1"/>
                      <w:sz w:val="20"/>
                    </w:rPr>
                  </w:pPr>
                  <w:r w:rsidRPr="003711AF">
                    <w:rPr>
                      <w:color w:val="000000" w:themeColor="text1"/>
                      <w:sz w:val="20"/>
                    </w:rPr>
                    <w:t>English Progress</w:t>
                  </w:r>
                </w:p>
              </w:tc>
              <w:tc>
                <w:tcPr>
                  <w:tcW w:w="0" w:type="auto"/>
                  <w:vAlign w:val="center"/>
                </w:tcPr>
                <w:p w14:paraId="46AC6507" w14:textId="77777777" w:rsidR="00C07AC7" w:rsidRPr="003711AF" w:rsidRDefault="00C07AC7" w:rsidP="004D6E73">
                  <w:pPr>
                    <w:spacing w:after="0"/>
                    <w:jc w:val="center"/>
                    <w:rPr>
                      <w:color w:val="000000" w:themeColor="text1"/>
                      <w:sz w:val="20"/>
                    </w:rPr>
                  </w:pPr>
                  <w:r w:rsidRPr="003711AF">
                    <w:rPr>
                      <w:color w:val="000000" w:themeColor="text1"/>
                      <w:sz w:val="20"/>
                    </w:rPr>
                    <w:t>+0.38</w:t>
                  </w:r>
                </w:p>
              </w:tc>
              <w:tc>
                <w:tcPr>
                  <w:tcW w:w="0" w:type="auto"/>
                  <w:vAlign w:val="center"/>
                </w:tcPr>
                <w:p w14:paraId="4DDEB289" w14:textId="77777777" w:rsidR="00C07AC7" w:rsidRPr="00C07AC7" w:rsidRDefault="00C07AC7" w:rsidP="004D6E73">
                  <w:pPr>
                    <w:spacing w:after="0"/>
                    <w:jc w:val="center"/>
                    <w:rPr>
                      <w:color w:val="auto"/>
                      <w:sz w:val="20"/>
                    </w:rPr>
                  </w:pPr>
                  <w:r w:rsidRPr="00C07AC7">
                    <w:rPr>
                      <w:color w:val="auto"/>
                      <w:sz w:val="20"/>
                    </w:rPr>
                    <w:t>+0.41</w:t>
                  </w:r>
                </w:p>
              </w:tc>
              <w:tc>
                <w:tcPr>
                  <w:tcW w:w="0" w:type="auto"/>
                </w:tcPr>
                <w:p w14:paraId="33771CDE" w14:textId="26F202E0" w:rsidR="00C07AC7" w:rsidRPr="00C07AC7" w:rsidRDefault="00C07AC7" w:rsidP="004D6E73">
                  <w:pPr>
                    <w:spacing w:after="0"/>
                    <w:jc w:val="center"/>
                    <w:rPr>
                      <w:color w:val="0070C0"/>
                      <w:sz w:val="20"/>
                    </w:rPr>
                  </w:pPr>
                  <w:r w:rsidRPr="00C07AC7">
                    <w:rPr>
                      <w:rStyle w:val="normaltextrun"/>
                      <w:rFonts w:ascii="Calibri" w:hAnsi="Calibri" w:cs="Calibri"/>
                      <w:color w:val="0070C0"/>
                      <w:sz w:val="20"/>
                      <w:szCs w:val="20"/>
                    </w:rPr>
                    <w:t>+0.30</w:t>
                  </w:r>
                  <w:r w:rsidRPr="00C07AC7">
                    <w:rPr>
                      <w:rStyle w:val="eop"/>
                      <w:rFonts w:ascii="Calibri" w:hAnsi="Calibri" w:cs="Calibri"/>
                      <w:color w:val="0070C0"/>
                      <w:sz w:val="20"/>
                      <w:szCs w:val="20"/>
                    </w:rPr>
                    <w:t> </w:t>
                  </w:r>
                </w:p>
              </w:tc>
            </w:tr>
            <w:tr w:rsidR="00C07AC7" w:rsidRPr="003711AF" w14:paraId="08E3D8BC" w14:textId="2CC7D34B" w:rsidTr="004D6E73">
              <w:trPr>
                <w:trHeight w:val="44"/>
              </w:trPr>
              <w:tc>
                <w:tcPr>
                  <w:tcW w:w="0" w:type="auto"/>
                  <w:vAlign w:val="center"/>
                </w:tcPr>
                <w:p w14:paraId="4807B929" w14:textId="77777777" w:rsidR="00C07AC7" w:rsidRPr="003711AF" w:rsidRDefault="00C07AC7" w:rsidP="004D6E73">
                  <w:pPr>
                    <w:spacing w:after="0"/>
                    <w:jc w:val="center"/>
                    <w:rPr>
                      <w:color w:val="000000" w:themeColor="text1"/>
                      <w:sz w:val="20"/>
                    </w:rPr>
                  </w:pPr>
                  <w:r w:rsidRPr="003711AF">
                    <w:rPr>
                      <w:color w:val="000000" w:themeColor="text1"/>
                      <w:sz w:val="20"/>
                    </w:rPr>
                    <w:t>Maths Progress</w:t>
                  </w:r>
                </w:p>
              </w:tc>
              <w:tc>
                <w:tcPr>
                  <w:tcW w:w="0" w:type="auto"/>
                  <w:vAlign w:val="center"/>
                </w:tcPr>
                <w:p w14:paraId="0AD8CB70" w14:textId="77777777" w:rsidR="00C07AC7" w:rsidRPr="003711AF" w:rsidRDefault="00C07AC7" w:rsidP="004D6E73">
                  <w:pPr>
                    <w:spacing w:after="0"/>
                    <w:jc w:val="center"/>
                    <w:rPr>
                      <w:color w:val="000000" w:themeColor="text1"/>
                      <w:sz w:val="20"/>
                    </w:rPr>
                  </w:pPr>
                  <w:r w:rsidRPr="003711AF">
                    <w:rPr>
                      <w:color w:val="000000" w:themeColor="text1"/>
                      <w:sz w:val="20"/>
                    </w:rPr>
                    <w:t>-0.13</w:t>
                  </w:r>
                </w:p>
              </w:tc>
              <w:tc>
                <w:tcPr>
                  <w:tcW w:w="0" w:type="auto"/>
                  <w:vAlign w:val="center"/>
                </w:tcPr>
                <w:p w14:paraId="026C1EBD" w14:textId="77777777" w:rsidR="00C07AC7" w:rsidRPr="00C07AC7" w:rsidRDefault="00C07AC7" w:rsidP="004D6E73">
                  <w:pPr>
                    <w:spacing w:after="0"/>
                    <w:jc w:val="center"/>
                    <w:rPr>
                      <w:color w:val="auto"/>
                      <w:sz w:val="20"/>
                    </w:rPr>
                  </w:pPr>
                  <w:r w:rsidRPr="00C07AC7">
                    <w:rPr>
                      <w:color w:val="auto"/>
                      <w:sz w:val="20"/>
                    </w:rPr>
                    <w:t>+0.31</w:t>
                  </w:r>
                </w:p>
              </w:tc>
              <w:tc>
                <w:tcPr>
                  <w:tcW w:w="0" w:type="auto"/>
                </w:tcPr>
                <w:p w14:paraId="0901ABBB" w14:textId="2D650094" w:rsidR="00C07AC7" w:rsidRPr="00C07AC7" w:rsidRDefault="00C07AC7" w:rsidP="004D6E73">
                  <w:pPr>
                    <w:spacing w:after="0"/>
                    <w:jc w:val="center"/>
                    <w:rPr>
                      <w:color w:val="0070C0"/>
                      <w:sz w:val="20"/>
                    </w:rPr>
                  </w:pPr>
                  <w:r w:rsidRPr="00C07AC7">
                    <w:rPr>
                      <w:rStyle w:val="normaltextrun"/>
                      <w:rFonts w:ascii="Calibri" w:hAnsi="Calibri" w:cs="Calibri"/>
                      <w:color w:val="0070C0"/>
                      <w:sz w:val="20"/>
                      <w:szCs w:val="20"/>
                    </w:rPr>
                    <w:t>-0.23</w:t>
                  </w:r>
                  <w:r w:rsidRPr="00C07AC7">
                    <w:rPr>
                      <w:rStyle w:val="eop"/>
                      <w:rFonts w:ascii="Calibri" w:hAnsi="Calibri" w:cs="Calibri"/>
                      <w:color w:val="0070C0"/>
                      <w:sz w:val="20"/>
                      <w:szCs w:val="20"/>
                    </w:rPr>
                    <w:t> </w:t>
                  </w:r>
                </w:p>
              </w:tc>
            </w:tr>
            <w:tr w:rsidR="00C07AC7" w:rsidRPr="003711AF" w14:paraId="7237FCFF" w14:textId="6BD0605A" w:rsidTr="004D6E73">
              <w:trPr>
                <w:trHeight w:val="44"/>
              </w:trPr>
              <w:tc>
                <w:tcPr>
                  <w:tcW w:w="0" w:type="auto"/>
                  <w:vAlign w:val="center"/>
                </w:tcPr>
                <w:p w14:paraId="27FE4DE3" w14:textId="77777777" w:rsidR="00C07AC7" w:rsidRPr="003711AF" w:rsidRDefault="00C07AC7" w:rsidP="004D6E73">
                  <w:pPr>
                    <w:spacing w:after="0"/>
                    <w:jc w:val="center"/>
                    <w:rPr>
                      <w:color w:val="000000" w:themeColor="text1"/>
                      <w:sz w:val="20"/>
                    </w:rPr>
                  </w:pPr>
                  <w:r w:rsidRPr="003711AF">
                    <w:rPr>
                      <w:color w:val="000000" w:themeColor="text1"/>
                      <w:sz w:val="20"/>
                    </w:rPr>
                    <w:t>EBacc Progress</w:t>
                  </w:r>
                </w:p>
              </w:tc>
              <w:tc>
                <w:tcPr>
                  <w:tcW w:w="0" w:type="auto"/>
                  <w:vAlign w:val="center"/>
                </w:tcPr>
                <w:p w14:paraId="05322818" w14:textId="77777777" w:rsidR="00C07AC7" w:rsidRPr="003711AF" w:rsidRDefault="00C07AC7" w:rsidP="004D6E73">
                  <w:pPr>
                    <w:spacing w:after="0"/>
                    <w:jc w:val="center"/>
                    <w:rPr>
                      <w:color w:val="000000" w:themeColor="text1"/>
                      <w:sz w:val="20"/>
                    </w:rPr>
                  </w:pPr>
                  <w:r w:rsidRPr="003711AF">
                    <w:rPr>
                      <w:color w:val="000000" w:themeColor="text1"/>
                      <w:sz w:val="20"/>
                    </w:rPr>
                    <w:t>-0.09</w:t>
                  </w:r>
                </w:p>
              </w:tc>
              <w:tc>
                <w:tcPr>
                  <w:tcW w:w="0" w:type="auto"/>
                  <w:vAlign w:val="center"/>
                </w:tcPr>
                <w:p w14:paraId="5FBD0A10" w14:textId="77777777" w:rsidR="00C07AC7" w:rsidRPr="00C07AC7" w:rsidRDefault="00C07AC7" w:rsidP="004D6E73">
                  <w:pPr>
                    <w:spacing w:after="0"/>
                    <w:jc w:val="center"/>
                    <w:rPr>
                      <w:color w:val="auto"/>
                      <w:sz w:val="20"/>
                    </w:rPr>
                  </w:pPr>
                  <w:r w:rsidRPr="00C07AC7">
                    <w:rPr>
                      <w:color w:val="auto"/>
                      <w:sz w:val="20"/>
                    </w:rPr>
                    <w:t>+0.23</w:t>
                  </w:r>
                </w:p>
              </w:tc>
              <w:tc>
                <w:tcPr>
                  <w:tcW w:w="0" w:type="auto"/>
                </w:tcPr>
                <w:p w14:paraId="340D3B42" w14:textId="16D3EE48" w:rsidR="00C07AC7" w:rsidRPr="00C07AC7" w:rsidRDefault="00C07AC7" w:rsidP="004D6E73">
                  <w:pPr>
                    <w:spacing w:after="0"/>
                    <w:jc w:val="center"/>
                    <w:rPr>
                      <w:color w:val="0070C0"/>
                      <w:sz w:val="20"/>
                    </w:rPr>
                  </w:pPr>
                  <w:r w:rsidRPr="00C07AC7">
                    <w:rPr>
                      <w:rStyle w:val="normaltextrun"/>
                      <w:rFonts w:ascii="Calibri" w:hAnsi="Calibri" w:cs="Calibri"/>
                      <w:color w:val="0070C0"/>
                      <w:sz w:val="20"/>
                      <w:szCs w:val="20"/>
                    </w:rPr>
                    <w:t>-0.23</w:t>
                  </w:r>
                  <w:r w:rsidRPr="00C07AC7">
                    <w:rPr>
                      <w:rStyle w:val="eop"/>
                      <w:rFonts w:ascii="Calibri" w:hAnsi="Calibri" w:cs="Calibri"/>
                      <w:color w:val="0070C0"/>
                      <w:sz w:val="20"/>
                      <w:szCs w:val="20"/>
                    </w:rPr>
                    <w:t> </w:t>
                  </w:r>
                </w:p>
              </w:tc>
            </w:tr>
            <w:tr w:rsidR="00C07AC7" w:rsidRPr="003711AF" w14:paraId="576808F1" w14:textId="3849E4FB" w:rsidTr="004D6E73">
              <w:trPr>
                <w:trHeight w:val="44"/>
              </w:trPr>
              <w:tc>
                <w:tcPr>
                  <w:tcW w:w="0" w:type="auto"/>
                  <w:vAlign w:val="center"/>
                </w:tcPr>
                <w:p w14:paraId="68F1C622" w14:textId="77777777" w:rsidR="00C07AC7" w:rsidRPr="003711AF" w:rsidRDefault="00C07AC7" w:rsidP="004D6E73">
                  <w:pPr>
                    <w:spacing w:after="0"/>
                    <w:jc w:val="center"/>
                    <w:rPr>
                      <w:color w:val="000000" w:themeColor="text1"/>
                      <w:sz w:val="20"/>
                    </w:rPr>
                  </w:pPr>
                  <w:r w:rsidRPr="003711AF">
                    <w:rPr>
                      <w:color w:val="000000" w:themeColor="text1"/>
                      <w:sz w:val="20"/>
                    </w:rPr>
                    <w:t>Open Progress</w:t>
                  </w:r>
                </w:p>
              </w:tc>
              <w:tc>
                <w:tcPr>
                  <w:tcW w:w="0" w:type="auto"/>
                  <w:vAlign w:val="center"/>
                </w:tcPr>
                <w:p w14:paraId="3E0555BE" w14:textId="77777777" w:rsidR="00C07AC7" w:rsidRPr="003711AF" w:rsidRDefault="00C07AC7" w:rsidP="004D6E73">
                  <w:pPr>
                    <w:spacing w:after="0"/>
                    <w:jc w:val="center"/>
                    <w:rPr>
                      <w:color w:val="000000" w:themeColor="text1"/>
                      <w:sz w:val="20"/>
                    </w:rPr>
                  </w:pPr>
                  <w:r w:rsidRPr="003711AF">
                    <w:rPr>
                      <w:color w:val="000000" w:themeColor="text1"/>
                      <w:sz w:val="20"/>
                    </w:rPr>
                    <w:t>+0.59</w:t>
                  </w:r>
                </w:p>
              </w:tc>
              <w:tc>
                <w:tcPr>
                  <w:tcW w:w="0" w:type="auto"/>
                  <w:vAlign w:val="center"/>
                </w:tcPr>
                <w:p w14:paraId="0D99914E" w14:textId="77777777" w:rsidR="00C07AC7" w:rsidRPr="00C07AC7" w:rsidRDefault="00C07AC7" w:rsidP="004D6E73">
                  <w:pPr>
                    <w:spacing w:after="0"/>
                    <w:jc w:val="center"/>
                    <w:rPr>
                      <w:color w:val="auto"/>
                      <w:sz w:val="20"/>
                    </w:rPr>
                  </w:pPr>
                  <w:r w:rsidRPr="00C07AC7">
                    <w:rPr>
                      <w:color w:val="auto"/>
                      <w:sz w:val="20"/>
                    </w:rPr>
                    <w:t>+0.54</w:t>
                  </w:r>
                </w:p>
              </w:tc>
              <w:tc>
                <w:tcPr>
                  <w:tcW w:w="0" w:type="auto"/>
                </w:tcPr>
                <w:p w14:paraId="05E25405" w14:textId="5B6902B1" w:rsidR="00C07AC7" w:rsidRPr="00C07AC7" w:rsidRDefault="00C07AC7" w:rsidP="004D6E73">
                  <w:pPr>
                    <w:spacing w:after="0"/>
                    <w:jc w:val="center"/>
                    <w:rPr>
                      <w:color w:val="0070C0"/>
                      <w:sz w:val="20"/>
                    </w:rPr>
                  </w:pPr>
                  <w:r w:rsidRPr="00C07AC7">
                    <w:rPr>
                      <w:rStyle w:val="normaltextrun"/>
                      <w:rFonts w:ascii="Calibri" w:hAnsi="Calibri" w:cs="Calibri"/>
                      <w:color w:val="0070C0"/>
                      <w:sz w:val="20"/>
                      <w:szCs w:val="20"/>
                    </w:rPr>
                    <w:t>+0.30</w:t>
                  </w:r>
                  <w:r w:rsidRPr="00C07AC7">
                    <w:rPr>
                      <w:rStyle w:val="eop"/>
                      <w:rFonts w:ascii="Calibri" w:hAnsi="Calibri" w:cs="Calibri"/>
                      <w:color w:val="0070C0"/>
                      <w:sz w:val="20"/>
                      <w:szCs w:val="20"/>
                    </w:rPr>
                    <w:t> </w:t>
                  </w:r>
                </w:p>
              </w:tc>
            </w:tr>
          </w:tbl>
          <w:p w14:paraId="673612EE" w14:textId="4A3ED871" w:rsidR="003711AF" w:rsidRDefault="003711AF" w:rsidP="00CA798C">
            <w:pPr>
              <w:pStyle w:val="TableRow"/>
              <w:rPr>
                <w:sz w:val="22"/>
              </w:rPr>
            </w:pPr>
          </w:p>
          <w:tbl>
            <w:tblPr>
              <w:tblStyle w:val="TableGrid"/>
              <w:tblW w:w="0" w:type="auto"/>
              <w:tblLook w:val="04A0" w:firstRow="1" w:lastRow="0" w:firstColumn="1" w:lastColumn="0" w:noHBand="0" w:noVBand="1"/>
            </w:tblPr>
            <w:tblGrid>
              <w:gridCol w:w="1026"/>
              <w:gridCol w:w="1276"/>
              <w:gridCol w:w="1275"/>
              <w:gridCol w:w="1275"/>
            </w:tblGrid>
            <w:tr w:rsidR="004D6E73" w:rsidRPr="003711AF" w14:paraId="55D836AF" w14:textId="29BB11FB" w:rsidTr="00FE043D">
              <w:trPr>
                <w:trHeight w:val="271"/>
              </w:trPr>
              <w:tc>
                <w:tcPr>
                  <w:tcW w:w="1026" w:type="dxa"/>
                </w:tcPr>
                <w:p w14:paraId="73F40FEA" w14:textId="77777777" w:rsidR="004D6E73" w:rsidRPr="003711AF" w:rsidRDefault="004D6E73" w:rsidP="004D6E73">
                  <w:pPr>
                    <w:spacing w:after="0"/>
                    <w:jc w:val="center"/>
                    <w:rPr>
                      <w:sz w:val="20"/>
                    </w:rPr>
                  </w:pPr>
                </w:p>
              </w:tc>
              <w:tc>
                <w:tcPr>
                  <w:tcW w:w="1276" w:type="dxa"/>
                </w:tcPr>
                <w:p w14:paraId="063D1A8B" w14:textId="77777777" w:rsidR="004D6E73" w:rsidRPr="003711AF" w:rsidRDefault="004D6E73" w:rsidP="004D6E73">
                  <w:pPr>
                    <w:spacing w:after="0"/>
                    <w:jc w:val="center"/>
                    <w:rPr>
                      <w:sz w:val="20"/>
                    </w:rPr>
                  </w:pPr>
                  <w:r w:rsidRPr="003711AF">
                    <w:rPr>
                      <w:sz w:val="20"/>
                    </w:rPr>
                    <w:t>2018-2019</w:t>
                  </w:r>
                </w:p>
              </w:tc>
              <w:tc>
                <w:tcPr>
                  <w:tcW w:w="1275" w:type="dxa"/>
                  <w:tcBorders>
                    <w:bottom w:val="single" w:sz="4" w:space="0" w:color="auto"/>
                  </w:tcBorders>
                </w:tcPr>
                <w:p w14:paraId="712FE7B0" w14:textId="77777777" w:rsidR="004D6E73" w:rsidRPr="004D6E73" w:rsidRDefault="004D6E73" w:rsidP="004D6E73">
                  <w:pPr>
                    <w:spacing w:after="0"/>
                    <w:jc w:val="center"/>
                    <w:rPr>
                      <w:color w:val="auto"/>
                      <w:sz w:val="20"/>
                    </w:rPr>
                  </w:pPr>
                  <w:r w:rsidRPr="004D6E73">
                    <w:rPr>
                      <w:color w:val="auto"/>
                      <w:sz w:val="20"/>
                    </w:rPr>
                    <w:t>Exams 2022</w:t>
                  </w:r>
                </w:p>
              </w:tc>
              <w:tc>
                <w:tcPr>
                  <w:tcW w:w="1275" w:type="dxa"/>
                  <w:tcBorders>
                    <w:bottom w:val="single" w:sz="4" w:space="0" w:color="auto"/>
                  </w:tcBorders>
                </w:tcPr>
                <w:p w14:paraId="186290B4" w14:textId="7AB8BB51" w:rsidR="004D6E73" w:rsidRPr="004D6E73" w:rsidRDefault="004D6E73" w:rsidP="004D6E73">
                  <w:pPr>
                    <w:spacing w:after="0"/>
                    <w:jc w:val="center"/>
                    <w:rPr>
                      <w:rStyle w:val="normaltextrun"/>
                      <w:rFonts w:ascii="Calibri" w:hAnsi="Calibri" w:cs="Calibri"/>
                      <w:color w:val="0070C0"/>
                      <w:sz w:val="20"/>
                      <w:szCs w:val="20"/>
                    </w:rPr>
                  </w:pPr>
                  <w:r w:rsidRPr="004D6E73">
                    <w:rPr>
                      <w:color w:val="0070C0"/>
                      <w:sz w:val="20"/>
                      <w:szCs w:val="20"/>
                    </w:rPr>
                    <w:t>Exams 2023</w:t>
                  </w:r>
                </w:p>
              </w:tc>
            </w:tr>
            <w:tr w:rsidR="004D6E73" w:rsidRPr="003711AF" w14:paraId="3C744A9D" w14:textId="38A919FC" w:rsidTr="00FE043D">
              <w:tc>
                <w:tcPr>
                  <w:tcW w:w="1026" w:type="dxa"/>
                </w:tcPr>
                <w:p w14:paraId="62B6B934" w14:textId="77777777" w:rsidR="004D6E73" w:rsidRPr="003711AF" w:rsidRDefault="004D6E73" w:rsidP="004D6E73">
                  <w:pPr>
                    <w:spacing w:after="0"/>
                    <w:jc w:val="center"/>
                    <w:rPr>
                      <w:sz w:val="20"/>
                    </w:rPr>
                  </w:pPr>
                  <w:r w:rsidRPr="003711AF">
                    <w:rPr>
                      <w:sz w:val="20"/>
                    </w:rPr>
                    <w:t>Male</w:t>
                  </w:r>
                </w:p>
              </w:tc>
              <w:tc>
                <w:tcPr>
                  <w:tcW w:w="1276" w:type="dxa"/>
                </w:tcPr>
                <w:p w14:paraId="74F21FBA" w14:textId="77777777" w:rsidR="004D6E73" w:rsidRPr="003711AF" w:rsidRDefault="004D6E73" w:rsidP="004D6E73">
                  <w:pPr>
                    <w:spacing w:after="0"/>
                    <w:jc w:val="center"/>
                    <w:rPr>
                      <w:sz w:val="20"/>
                    </w:rPr>
                  </w:pPr>
                  <w:r w:rsidRPr="003711AF">
                    <w:rPr>
                      <w:sz w:val="20"/>
                    </w:rPr>
                    <w:t>-0.11(63)</w:t>
                  </w:r>
                </w:p>
              </w:tc>
              <w:tc>
                <w:tcPr>
                  <w:tcW w:w="1275" w:type="dxa"/>
                  <w:tcBorders>
                    <w:top w:val="single" w:sz="4" w:space="0" w:color="auto"/>
                    <w:left w:val="single" w:sz="4" w:space="0" w:color="auto"/>
                    <w:bottom w:val="single" w:sz="4" w:space="0" w:color="auto"/>
                    <w:right w:val="single" w:sz="4" w:space="0" w:color="auto"/>
                  </w:tcBorders>
                </w:tcPr>
                <w:p w14:paraId="07B817C3" w14:textId="77777777" w:rsidR="004D6E73" w:rsidRPr="004D6E73" w:rsidRDefault="004D6E73" w:rsidP="004D6E73">
                  <w:pPr>
                    <w:spacing w:after="0"/>
                    <w:jc w:val="center"/>
                    <w:rPr>
                      <w:rFonts w:cstheme="minorHAnsi"/>
                      <w:bCs/>
                      <w:color w:val="auto"/>
                      <w:kern w:val="24"/>
                      <w:sz w:val="20"/>
                    </w:rPr>
                  </w:pPr>
                  <w:r w:rsidRPr="004D6E73">
                    <w:rPr>
                      <w:rFonts w:cstheme="minorHAnsi"/>
                      <w:bCs/>
                      <w:color w:val="auto"/>
                      <w:kern w:val="24"/>
                      <w:sz w:val="20"/>
                    </w:rPr>
                    <w:t>+0.22 (67)</w:t>
                  </w:r>
                </w:p>
              </w:tc>
              <w:tc>
                <w:tcPr>
                  <w:tcW w:w="1275" w:type="dxa"/>
                  <w:tcBorders>
                    <w:top w:val="single" w:sz="4" w:space="0" w:color="auto"/>
                    <w:left w:val="single" w:sz="4" w:space="0" w:color="auto"/>
                    <w:bottom w:val="single" w:sz="4" w:space="0" w:color="auto"/>
                    <w:right w:val="single" w:sz="4" w:space="0" w:color="auto"/>
                  </w:tcBorders>
                </w:tcPr>
                <w:p w14:paraId="500C2A9C" w14:textId="1BF6FB8D" w:rsidR="004D6E73" w:rsidRPr="004D6E73" w:rsidRDefault="004D6E73" w:rsidP="004D6E73">
                  <w:pPr>
                    <w:spacing w:after="0"/>
                    <w:jc w:val="center"/>
                    <w:rPr>
                      <w:rStyle w:val="normaltextrun"/>
                      <w:rFonts w:ascii="Calibri" w:hAnsi="Calibri" w:cs="Calibri"/>
                      <w:color w:val="0070C0"/>
                      <w:sz w:val="20"/>
                      <w:szCs w:val="20"/>
                    </w:rPr>
                  </w:pPr>
                  <w:r w:rsidRPr="004D6E73">
                    <w:rPr>
                      <w:rFonts w:cstheme="minorHAnsi"/>
                      <w:bCs/>
                      <w:color w:val="0070C0"/>
                      <w:kern w:val="24"/>
                      <w:sz w:val="20"/>
                      <w:szCs w:val="20"/>
                    </w:rPr>
                    <w:t>-0.24 (73)</w:t>
                  </w:r>
                </w:p>
              </w:tc>
            </w:tr>
            <w:tr w:rsidR="004D6E73" w:rsidRPr="003711AF" w14:paraId="3502F6E1" w14:textId="6B927B46" w:rsidTr="00FE043D">
              <w:tc>
                <w:tcPr>
                  <w:tcW w:w="1026" w:type="dxa"/>
                </w:tcPr>
                <w:p w14:paraId="545F3A68" w14:textId="77777777" w:rsidR="004D6E73" w:rsidRPr="003711AF" w:rsidRDefault="004D6E73" w:rsidP="004D6E73">
                  <w:pPr>
                    <w:spacing w:after="0"/>
                    <w:jc w:val="center"/>
                    <w:rPr>
                      <w:sz w:val="20"/>
                    </w:rPr>
                  </w:pPr>
                  <w:r w:rsidRPr="003711AF">
                    <w:rPr>
                      <w:sz w:val="20"/>
                    </w:rPr>
                    <w:t>Female</w:t>
                  </w:r>
                </w:p>
              </w:tc>
              <w:tc>
                <w:tcPr>
                  <w:tcW w:w="1276" w:type="dxa"/>
                </w:tcPr>
                <w:p w14:paraId="010AB11C" w14:textId="77777777" w:rsidR="004D6E73" w:rsidRPr="003711AF" w:rsidRDefault="004D6E73" w:rsidP="004D6E73">
                  <w:pPr>
                    <w:spacing w:after="0"/>
                    <w:jc w:val="center"/>
                    <w:rPr>
                      <w:sz w:val="20"/>
                    </w:rPr>
                  </w:pPr>
                  <w:r w:rsidRPr="003711AF">
                    <w:rPr>
                      <w:sz w:val="20"/>
                    </w:rPr>
                    <w:t>+0.54(69)</w:t>
                  </w:r>
                </w:p>
              </w:tc>
              <w:tc>
                <w:tcPr>
                  <w:tcW w:w="1275" w:type="dxa"/>
                  <w:tcBorders>
                    <w:top w:val="single" w:sz="4" w:space="0" w:color="auto"/>
                    <w:left w:val="single" w:sz="4" w:space="0" w:color="auto"/>
                    <w:bottom w:val="single" w:sz="4" w:space="0" w:color="auto"/>
                    <w:right w:val="single" w:sz="4" w:space="0" w:color="auto"/>
                  </w:tcBorders>
                </w:tcPr>
                <w:p w14:paraId="12392311" w14:textId="77777777" w:rsidR="004D6E73" w:rsidRPr="004D6E73" w:rsidRDefault="004D6E73" w:rsidP="004D6E73">
                  <w:pPr>
                    <w:spacing w:after="0"/>
                    <w:jc w:val="center"/>
                    <w:rPr>
                      <w:rFonts w:cstheme="minorHAnsi"/>
                      <w:bCs/>
                      <w:color w:val="auto"/>
                      <w:kern w:val="24"/>
                      <w:sz w:val="20"/>
                    </w:rPr>
                  </w:pPr>
                  <w:r w:rsidRPr="004D6E73">
                    <w:rPr>
                      <w:rFonts w:cstheme="minorHAnsi"/>
                      <w:bCs/>
                      <w:color w:val="auto"/>
                      <w:kern w:val="24"/>
                      <w:sz w:val="20"/>
                    </w:rPr>
                    <w:t>+0.50 (87)</w:t>
                  </w:r>
                </w:p>
              </w:tc>
              <w:tc>
                <w:tcPr>
                  <w:tcW w:w="1275" w:type="dxa"/>
                  <w:tcBorders>
                    <w:top w:val="single" w:sz="4" w:space="0" w:color="auto"/>
                    <w:left w:val="single" w:sz="4" w:space="0" w:color="auto"/>
                    <w:bottom w:val="single" w:sz="4" w:space="0" w:color="auto"/>
                    <w:right w:val="single" w:sz="4" w:space="0" w:color="auto"/>
                  </w:tcBorders>
                </w:tcPr>
                <w:p w14:paraId="22CE4387" w14:textId="6D1D2411" w:rsidR="004D6E73" w:rsidRPr="004D6E73" w:rsidRDefault="004D6E73" w:rsidP="004D6E73">
                  <w:pPr>
                    <w:spacing w:after="0"/>
                    <w:jc w:val="center"/>
                    <w:rPr>
                      <w:rStyle w:val="normaltextrun"/>
                      <w:rFonts w:ascii="Calibri" w:hAnsi="Calibri" w:cs="Calibri"/>
                      <w:color w:val="0070C0"/>
                      <w:sz w:val="20"/>
                      <w:szCs w:val="20"/>
                    </w:rPr>
                  </w:pPr>
                  <w:r w:rsidRPr="004D6E73">
                    <w:rPr>
                      <w:rFonts w:cstheme="minorHAnsi"/>
                      <w:bCs/>
                      <w:color w:val="0070C0"/>
                      <w:kern w:val="24"/>
                      <w:sz w:val="20"/>
                      <w:szCs w:val="20"/>
                    </w:rPr>
                    <w:t>+0.30 (78)</w:t>
                  </w:r>
                </w:p>
              </w:tc>
            </w:tr>
            <w:tr w:rsidR="004D6E73" w:rsidRPr="003711AF" w14:paraId="463FA89A" w14:textId="74DFE0CA" w:rsidTr="00FE043D">
              <w:tc>
                <w:tcPr>
                  <w:tcW w:w="1026" w:type="dxa"/>
                </w:tcPr>
                <w:p w14:paraId="4DC5E174" w14:textId="77777777" w:rsidR="004D6E73" w:rsidRPr="003711AF" w:rsidRDefault="004D6E73" w:rsidP="004D6E73">
                  <w:pPr>
                    <w:spacing w:after="0"/>
                    <w:jc w:val="center"/>
                    <w:rPr>
                      <w:sz w:val="20"/>
                    </w:rPr>
                  </w:pPr>
                  <w:r w:rsidRPr="003711AF">
                    <w:rPr>
                      <w:sz w:val="20"/>
                    </w:rPr>
                    <w:t>PP</w:t>
                  </w:r>
                </w:p>
              </w:tc>
              <w:tc>
                <w:tcPr>
                  <w:tcW w:w="1276" w:type="dxa"/>
                </w:tcPr>
                <w:p w14:paraId="78B0F3A5" w14:textId="77777777" w:rsidR="004D6E73" w:rsidRPr="003711AF" w:rsidRDefault="004D6E73" w:rsidP="004D6E73">
                  <w:pPr>
                    <w:spacing w:after="0"/>
                    <w:jc w:val="center"/>
                    <w:rPr>
                      <w:sz w:val="20"/>
                    </w:rPr>
                  </w:pPr>
                  <w:r w:rsidRPr="003711AF">
                    <w:rPr>
                      <w:sz w:val="20"/>
                    </w:rPr>
                    <w:t>-0.3 (39)</w:t>
                  </w:r>
                </w:p>
              </w:tc>
              <w:tc>
                <w:tcPr>
                  <w:tcW w:w="1275" w:type="dxa"/>
                  <w:tcBorders>
                    <w:top w:val="single" w:sz="4" w:space="0" w:color="auto"/>
                    <w:left w:val="single" w:sz="4" w:space="0" w:color="auto"/>
                    <w:bottom w:val="single" w:sz="4" w:space="0" w:color="auto"/>
                    <w:right w:val="single" w:sz="4" w:space="0" w:color="auto"/>
                  </w:tcBorders>
                </w:tcPr>
                <w:p w14:paraId="37800B56" w14:textId="77777777" w:rsidR="004D6E73" w:rsidRPr="004D6E73" w:rsidRDefault="004D6E73" w:rsidP="004D6E73">
                  <w:pPr>
                    <w:spacing w:after="0"/>
                    <w:jc w:val="center"/>
                    <w:rPr>
                      <w:rFonts w:cstheme="minorHAnsi"/>
                      <w:bCs/>
                      <w:color w:val="auto"/>
                      <w:kern w:val="24"/>
                      <w:sz w:val="20"/>
                    </w:rPr>
                  </w:pPr>
                  <w:r w:rsidRPr="004D6E73">
                    <w:rPr>
                      <w:rFonts w:cstheme="minorHAnsi"/>
                      <w:bCs/>
                      <w:color w:val="auto"/>
                      <w:kern w:val="24"/>
                      <w:sz w:val="20"/>
                    </w:rPr>
                    <w:t>+0.16 (37)</w:t>
                  </w:r>
                </w:p>
              </w:tc>
              <w:tc>
                <w:tcPr>
                  <w:tcW w:w="1275" w:type="dxa"/>
                  <w:tcBorders>
                    <w:top w:val="single" w:sz="4" w:space="0" w:color="auto"/>
                    <w:left w:val="single" w:sz="4" w:space="0" w:color="auto"/>
                    <w:bottom w:val="single" w:sz="4" w:space="0" w:color="auto"/>
                    <w:right w:val="single" w:sz="4" w:space="0" w:color="auto"/>
                  </w:tcBorders>
                </w:tcPr>
                <w:p w14:paraId="115BECC1" w14:textId="11FD83D5" w:rsidR="004D6E73" w:rsidRPr="004D6E73" w:rsidRDefault="004D6E73" w:rsidP="004D6E73">
                  <w:pPr>
                    <w:spacing w:after="0"/>
                    <w:jc w:val="center"/>
                    <w:rPr>
                      <w:rStyle w:val="normaltextrun"/>
                      <w:rFonts w:ascii="Calibri" w:hAnsi="Calibri" w:cs="Calibri"/>
                      <w:color w:val="0070C0"/>
                      <w:sz w:val="20"/>
                      <w:szCs w:val="20"/>
                    </w:rPr>
                  </w:pPr>
                  <w:r w:rsidRPr="004D6E73">
                    <w:rPr>
                      <w:rFonts w:cstheme="minorHAnsi"/>
                      <w:bCs/>
                      <w:color w:val="0070C0"/>
                      <w:kern w:val="24"/>
                      <w:sz w:val="20"/>
                      <w:szCs w:val="20"/>
                    </w:rPr>
                    <w:t>-0.08 (51)</w:t>
                  </w:r>
                </w:p>
              </w:tc>
            </w:tr>
            <w:tr w:rsidR="004D6E73" w:rsidRPr="003711AF" w14:paraId="57E68CC5" w14:textId="4B99061A" w:rsidTr="00FE043D">
              <w:tc>
                <w:tcPr>
                  <w:tcW w:w="1026" w:type="dxa"/>
                </w:tcPr>
                <w:p w14:paraId="1333E4EE" w14:textId="77777777" w:rsidR="004D6E73" w:rsidRPr="003711AF" w:rsidRDefault="004D6E73" w:rsidP="004D6E73">
                  <w:pPr>
                    <w:spacing w:after="0"/>
                    <w:jc w:val="center"/>
                    <w:rPr>
                      <w:sz w:val="20"/>
                    </w:rPr>
                  </w:pPr>
                  <w:proofErr w:type="gramStart"/>
                  <w:r w:rsidRPr="003711AF">
                    <w:rPr>
                      <w:sz w:val="20"/>
                    </w:rPr>
                    <w:t>Non PP</w:t>
                  </w:r>
                  <w:proofErr w:type="gramEnd"/>
                </w:p>
              </w:tc>
              <w:tc>
                <w:tcPr>
                  <w:tcW w:w="1276" w:type="dxa"/>
                </w:tcPr>
                <w:p w14:paraId="2829DB4B" w14:textId="77777777" w:rsidR="004D6E73" w:rsidRPr="003711AF" w:rsidRDefault="004D6E73" w:rsidP="004D6E73">
                  <w:pPr>
                    <w:spacing w:after="0"/>
                    <w:jc w:val="center"/>
                    <w:rPr>
                      <w:sz w:val="20"/>
                    </w:rPr>
                  </w:pPr>
                  <w:r w:rsidRPr="003711AF">
                    <w:rPr>
                      <w:sz w:val="20"/>
                    </w:rPr>
                    <w:t>+0.41(93)</w:t>
                  </w:r>
                </w:p>
              </w:tc>
              <w:tc>
                <w:tcPr>
                  <w:tcW w:w="1275" w:type="dxa"/>
                  <w:tcBorders>
                    <w:top w:val="single" w:sz="4" w:space="0" w:color="auto"/>
                    <w:left w:val="single" w:sz="4" w:space="0" w:color="auto"/>
                    <w:bottom w:val="single" w:sz="4" w:space="0" w:color="auto"/>
                    <w:right w:val="single" w:sz="4" w:space="0" w:color="auto"/>
                  </w:tcBorders>
                </w:tcPr>
                <w:p w14:paraId="68CE92E7" w14:textId="77777777" w:rsidR="004D6E73" w:rsidRPr="004D6E73" w:rsidRDefault="004D6E73" w:rsidP="004D6E73">
                  <w:pPr>
                    <w:spacing w:after="0"/>
                    <w:jc w:val="center"/>
                    <w:rPr>
                      <w:rFonts w:cstheme="minorHAnsi"/>
                      <w:bCs/>
                      <w:color w:val="auto"/>
                      <w:kern w:val="24"/>
                      <w:sz w:val="20"/>
                    </w:rPr>
                  </w:pPr>
                  <w:r w:rsidRPr="004D6E73">
                    <w:rPr>
                      <w:rFonts w:cstheme="minorHAnsi"/>
                      <w:bCs/>
                      <w:color w:val="auto"/>
                      <w:kern w:val="24"/>
                      <w:sz w:val="20"/>
                    </w:rPr>
                    <w:t>+0.44 (117)</w:t>
                  </w:r>
                </w:p>
              </w:tc>
              <w:tc>
                <w:tcPr>
                  <w:tcW w:w="1275" w:type="dxa"/>
                  <w:tcBorders>
                    <w:top w:val="single" w:sz="4" w:space="0" w:color="auto"/>
                    <w:left w:val="single" w:sz="4" w:space="0" w:color="auto"/>
                    <w:bottom w:val="single" w:sz="4" w:space="0" w:color="auto"/>
                    <w:right w:val="single" w:sz="4" w:space="0" w:color="auto"/>
                  </w:tcBorders>
                </w:tcPr>
                <w:p w14:paraId="53928956" w14:textId="45B74C55" w:rsidR="004D6E73" w:rsidRPr="004D6E73" w:rsidRDefault="004D6E73" w:rsidP="004D6E73">
                  <w:pPr>
                    <w:spacing w:after="0"/>
                    <w:jc w:val="center"/>
                    <w:rPr>
                      <w:rFonts w:cstheme="minorHAnsi"/>
                      <w:bCs/>
                      <w:color w:val="0070C0"/>
                      <w:kern w:val="24"/>
                      <w:sz w:val="20"/>
                      <w:szCs w:val="20"/>
                    </w:rPr>
                  </w:pPr>
                  <w:r w:rsidRPr="004D6E73">
                    <w:rPr>
                      <w:rFonts w:cstheme="minorHAnsi"/>
                      <w:bCs/>
                      <w:color w:val="0070C0"/>
                      <w:kern w:val="24"/>
                      <w:sz w:val="20"/>
                      <w:szCs w:val="20"/>
                    </w:rPr>
                    <w:t>+0.12 (100)</w:t>
                  </w:r>
                </w:p>
              </w:tc>
            </w:tr>
            <w:tr w:rsidR="004D6E73" w:rsidRPr="003711AF" w14:paraId="0BA3D8BA" w14:textId="6915B305" w:rsidTr="00FE043D">
              <w:tc>
                <w:tcPr>
                  <w:tcW w:w="1026" w:type="dxa"/>
                </w:tcPr>
                <w:p w14:paraId="42B34E23" w14:textId="77777777" w:rsidR="004D6E73" w:rsidRPr="003711AF" w:rsidRDefault="004D6E73" w:rsidP="004D6E73">
                  <w:pPr>
                    <w:spacing w:after="0"/>
                    <w:jc w:val="center"/>
                    <w:rPr>
                      <w:sz w:val="20"/>
                    </w:rPr>
                  </w:pPr>
                  <w:r w:rsidRPr="003711AF">
                    <w:rPr>
                      <w:sz w:val="20"/>
                    </w:rPr>
                    <w:t>SENK</w:t>
                  </w:r>
                </w:p>
              </w:tc>
              <w:tc>
                <w:tcPr>
                  <w:tcW w:w="1276" w:type="dxa"/>
                </w:tcPr>
                <w:p w14:paraId="12C56233" w14:textId="77777777" w:rsidR="004D6E73" w:rsidRPr="003711AF" w:rsidRDefault="004D6E73" w:rsidP="004D6E73">
                  <w:pPr>
                    <w:spacing w:after="0"/>
                    <w:jc w:val="center"/>
                    <w:rPr>
                      <w:sz w:val="20"/>
                    </w:rPr>
                  </w:pPr>
                  <w:r w:rsidRPr="003711AF">
                    <w:rPr>
                      <w:sz w:val="20"/>
                    </w:rPr>
                    <w:t>-0.68(12)</w:t>
                  </w:r>
                </w:p>
              </w:tc>
              <w:tc>
                <w:tcPr>
                  <w:tcW w:w="1275" w:type="dxa"/>
                  <w:tcBorders>
                    <w:top w:val="single" w:sz="4" w:space="0" w:color="auto"/>
                    <w:left w:val="single" w:sz="4" w:space="0" w:color="auto"/>
                    <w:bottom w:val="single" w:sz="4" w:space="0" w:color="auto"/>
                    <w:right w:val="single" w:sz="4" w:space="0" w:color="auto"/>
                  </w:tcBorders>
                </w:tcPr>
                <w:p w14:paraId="3954F766" w14:textId="77777777" w:rsidR="004D6E73" w:rsidRPr="004D6E73" w:rsidRDefault="004D6E73" w:rsidP="004D6E73">
                  <w:pPr>
                    <w:spacing w:after="0"/>
                    <w:jc w:val="center"/>
                    <w:rPr>
                      <w:rFonts w:cstheme="minorHAnsi"/>
                      <w:bCs/>
                      <w:color w:val="auto"/>
                      <w:kern w:val="24"/>
                      <w:sz w:val="20"/>
                    </w:rPr>
                  </w:pPr>
                  <w:r w:rsidRPr="004D6E73">
                    <w:rPr>
                      <w:rFonts w:cstheme="minorHAnsi"/>
                      <w:bCs/>
                      <w:color w:val="auto"/>
                      <w:kern w:val="24"/>
                      <w:sz w:val="20"/>
                    </w:rPr>
                    <w:t>-0.26 (21)</w:t>
                  </w:r>
                </w:p>
              </w:tc>
              <w:tc>
                <w:tcPr>
                  <w:tcW w:w="1275" w:type="dxa"/>
                  <w:tcBorders>
                    <w:top w:val="single" w:sz="4" w:space="0" w:color="auto"/>
                    <w:left w:val="single" w:sz="4" w:space="0" w:color="auto"/>
                    <w:bottom w:val="single" w:sz="4" w:space="0" w:color="auto"/>
                    <w:right w:val="single" w:sz="4" w:space="0" w:color="auto"/>
                  </w:tcBorders>
                </w:tcPr>
                <w:p w14:paraId="520FF897" w14:textId="23F83D6F" w:rsidR="004D6E73" w:rsidRPr="004D6E73" w:rsidRDefault="004D6E73" w:rsidP="004D6E73">
                  <w:pPr>
                    <w:spacing w:after="0"/>
                    <w:jc w:val="center"/>
                    <w:rPr>
                      <w:rFonts w:cstheme="minorHAnsi"/>
                      <w:bCs/>
                      <w:color w:val="0070C0"/>
                      <w:kern w:val="24"/>
                      <w:sz w:val="20"/>
                      <w:szCs w:val="20"/>
                    </w:rPr>
                  </w:pPr>
                  <w:r w:rsidRPr="004D6E73">
                    <w:rPr>
                      <w:rFonts w:cstheme="minorHAnsi"/>
                      <w:bCs/>
                      <w:color w:val="0070C0"/>
                      <w:kern w:val="24"/>
                      <w:sz w:val="20"/>
                      <w:szCs w:val="20"/>
                    </w:rPr>
                    <w:t>-0.53 (26)</w:t>
                  </w:r>
                </w:p>
              </w:tc>
            </w:tr>
            <w:tr w:rsidR="004D6E73" w:rsidRPr="003711AF" w14:paraId="6E1A8576" w14:textId="3EE5CEE6" w:rsidTr="00FE043D">
              <w:tc>
                <w:tcPr>
                  <w:tcW w:w="1026" w:type="dxa"/>
                </w:tcPr>
                <w:p w14:paraId="27BE14CA" w14:textId="77777777" w:rsidR="004D6E73" w:rsidRPr="003711AF" w:rsidRDefault="004D6E73" w:rsidP="004D6E73">
                  <w:pPr>
                    <w:spacing w:after="0"/>
                    <w:jc w:val="center"/>
                    <w:rPr>
                      <w:sz w:val="20"/>
                    </w:rPr>
                  </w:pPr>
                  <w:r w:rsidRPr="003711AF">
                    <w:rPr>
                      <w:sz w:val="20"/>
                    </w:rPr>
                    <w:t>EHCP</w:t>
                  </w:r>
                </w:p>
              </w:tc>
              <w:tc>
                <w:tcPr>
                  <w:tcW w:w="1276" w:type="dxa"/>
                </w:tcPr>
                <w:p w14:paraId="51E8DB15" w14:textId="77777777" w:rsidR="004D6E73" w:rsidRPr="003711AF" w:rsidRDefault="004D6E73" w:rsidP="004D6E73">
                  <w:pPr>
                    <w:spacing w:after="0"/>
                    <w:jc w:val="center"/>
                    <w:rPr>
                      <w:sz w:val="20"/>
                    </w:rPr>
                  </w:pPr>
                  <w:r w:rsidRPr="003711AF">
                    <w:rPr>
                      <w:sz w:val="20"/>
                    </w:rPr>
                    <w:t>-0.81(1)</w:t>
                  </w:r>
                </w:p>
              </w:tc>
              <w:tc>
                <w:tcPr>
                  <w:tcW w:w="1275" w:type="dxa"/>
                  <w:tcBorders>
                    <w:top w:val="single" w:sz="4" w:space="0" w:color="auto"/>
                    <w:left w:val="single" w:sz="4" w:space="0" w:color="auto"/>
                    <w:bottom w:val="single" w:sz="4" w:space="0" w:color="auto"/>
                    <w:right w:val="single" w:sz="4" w:space="0" w:color="auto"/>
                  </w:tcBorders>
                </w:tcPr>
                <w:p w14:paraId="6D298D31" w14:textId="77777777" w:rsidR="004D6E73" w:rsidRPr="004D6E73" w:rsidRDefault="004D6E73" w:rsidP="004D6E73">
                  <w:pPr>
                    <w:spacing w:after="0"/>
                    <w:jc w:val="center"/>
                    <w:rPr>
                      <w:rFonts w:cstheme="minorHAnsi"/>
                      <w:bCs/>
                      <w:color w:val="auto"/>
                      <w:kern w:val="24"/>
                      <w:sz w:val="20"/>
                    </w:rPr>
                  </w:pPr>
                  <w:r w:rsidRPr="004D6E73">
                    <w:rPr>
                      <w:rFonts w:cstheme="minorHAnsi"/>
                      <w:bCs/>
                      <w:color w:val="auto"/>
                      <w:kern w:val="24"/>
                      <w:sz w:val="20"/>
                    </w:rPr>
                    <w:t>-0.40 (3)</w:t>
                  </w:r>
                </w:p>
              </w:tc>
              <w:tc>
                <w:tcPr>
                  <w:tcW w:w="1275" w:type="dxa"/>
                  <w:tcBorders>
                    <w:top w:val="single" w:sz="4" w:space="0" w:color="auto"/>
                    <w:left w:val="single" w:sz="4" w:space="0" w:color="auto"/>
                    <w:bottom w:val="single" w:sz="4" w:space="0" w:color="auto"/>
                    <w:right w:val="single" w:sz="4" w:space="0" w:color="auto"/>
                  </w:tcBorders>
                </w:tcPr>
                <w:p w14:paraId="52822E0E" w14:textId="05599C07" w:rsidR="004D6E73" w:rsidRPr="004D6E73" w:rsidRDefault="004D6E73" w:rsidP="004D6E73">
                  <w:pPr>
                    <w:spacing w:after="0"/>
                    <w:jc w:val="center"/>
                    <w:rPr>
                      <w:rFonts w:cstheme="minorHAnsi"/>
                      <w:bCs/>
                      <w:color w:val="0070C0"/>
                      <w:kern w:val="24"/>
                      <w:sz w:val="20"/>
                      <w:szCs w:val="20"/>
                    </w:rPr>
                  </w:pPr>
                  <w:r w:rsidRPr="004D6E73">
                    <w:rPr>
                      <w:rFonts w:cstheme="minorHAnsi"/>
                      <w:bCs/>
                      <w:color w:val="0070C0"/>
                      <w:kern w:val="24"/>
                      <w:sz w:val="20"/>
                      <w:szCs w:val="20"/>
                    </w:rPr>
                    <w:t>-0.07 (8)</w:t>
                  </w:r>
                </w:p>
              </w:tc>
            </w:tr>
            <w:tr w:rsidR="004D6E73" w:rsidRPr="003711AF" w14:paraId="1A87D6EA" w14:textId="54501477" w:rsidTr="00FE043D">
              <w:tc>
                <w:tcPr>
                  <w:tcW w:w="1026" w:type="dxa"/>
                </w:tcPr>
                <w:p w14:paraId="0A7EF908" w14:textId="77777777" w:rsidR="004D6E73" w:rsidRPr="003711AF" w:rsidRDefault="004D6E73" w:rsidP="004D6E73">
                  <w:pPr>
                    <w:spacing w:after="0"/>
                    <w:jc w:val="center"/>
                    <w:rPr>
                      <w:sz w:val="20"/>
                    </w:rPr>
                  </w:pPr>
                  <w:r w:rsidRPr="003711AF">
                    <w:rPr>
                      <w:sz w:val="20"/>
                    </w:rPr>
                    <w:t>HPA</w:t>
                  </w:r>
                </w:p>
              </w:tc>
              <w:tc>
                <w:tcPr>
                  <w:tcW w:w="1276" w:type="dxa"/>
                </w:tcPr>
                <w:p w14:paraId="402EE328" w14:textId="77777777" w:rsidR="004D6E73" w:rsidRPr="003711AF" w:rsidRDefault="004D6E73" w:rsidP="004D6E73">
                  <w:pPr>
                    <w:spacing w:after="0"/>
                    <w:jc w:val="center"/>
                    <w:rPr>
                      <w:sz w:val="20"/>
                    </w:rPr>
                  </w:pPr>
                  <w:r w:rsidRPr="003711AF">
                    <w:rPr>
                      <w:sz w:val="20"/>
                    </w:rPr>
                    <w:t>+0.16(58)</w:t>
                  </w:r>
                </w:p>
              </w:tc>
              <w:tc>
                <w:tcPr>
                  <w:tcW w:w="1275" w:type="dxa"/>
                  <w:tcBorders>
                    <w:top w:val="single" w:sz="4" w:space="0" w:color="auto"/>
                    <w:left w:val="single" w:sz="4" w:space="0" w:color="auto"/>
                    <w:bottom w:val="single" w:sz="4" w:space="0" w:color="auto"/>
                    <w:right w:val="single" w:sz="4" w:space="0" w:color="auto"/>
                  </w:tcBorders>
                </w:tcPr>
                <w:p w14:paraId="61CD42C8" w14:textId="77777777" w:rsidR="004D6E73" w:rsidRPr="004D6E73" w:rsidRDefault="004D6E73" w:rsidP="004D6E73">
                  <w:pPr>
                    <w:spacing w:after="0"/>
                    <w:jc w:val="center"/>
                    <w:rPr>
                      <w:rFonts w:cstheme="minorHAnsi"/>
                      <w:bCs/>
                      <w:color w:val="auto"/>
                      <w:kern w:val="24"/>
                      <w:sz w:val="20"/>
                    </w:rPr>
                  </w:pPr>
                  <w:r w:rsidRPr="004D6E73">
                    <w:rPr>
                      <w:rFonts w:cstheme="minorHAnsi"/>
                      <w:bCs/>
                      <w:color w:val="auto"/>
                      <w:kern w:val="24"/>
                      <w:sz w:val="20"/>
                    </w:rPr>
                    <w:t>+0.36 (28)</w:t>
                  </w:r>
                </w:p>
              </w:tc>
              <w:tc>
                <w:tcPr>
                  <w:tcW w:w="1275" w:type="dxa"/>
                  <w:tcBorders>
                    <w:top w:val="single" w:sz="4" w:space="0" w:color="auto"/>
                    <w:left w:val="single" w:sz="4" w:space="0" w:color="auto"/>
                    <w:bottom w:val="single" w:sz="4" w:space="0" w:color="auto"/>
                    <w:right w:val="single" w:sz="4" w:space="0" w:color="auto"/>
                  </w:tcBorders>
                </w:tcPr>
                <w:p w14:paraId="12C6EB62" w14:textId="59C35DB5" w:rsidR="004D6E73" w:rsidRPr="004D6E73" w:rsidRDefault="004D6E73" w:rsidP="004D6E73">
                  <w:pPr>
                    <w:spacing w:after="0"/>
                    <w:jc w:val="center"/>
                    <w:rPr>
                      <w:rFonts w:cstheme="minorHAnsi"/>
                      <w:bCs/>
                      <w:color w:val="0070C0"/>
                      <w:kern w:val="24"/>
                      <w:sz w:val="20"/>
                      <w:szCs w:val="20"/>
                    </w:rPr>
                  </w:pPr>
                  <w:r w:rsidRPr="004D6E73">
                    <w:rPr>
                      <w:rFonts w:cstheme="minorHAnsi"/>
                      <w:bCs/>
                      <w:color w:val="0070C0"/>
                      <w:kern w:val="24"/>
                      <w:sz w:val="20"/>
                      <w:szCs w:val="20"/>
                    </w:rPr>
                    <w:t>-0.14 (</w:t>
                  </w:r>
                  <w:proofErr w:type="gramStart"/>
                  <w:r w:rsidRPr="004D6E73">
                    <w:rPr>
                      <w:rFonts w:cstheme="minorHAnsi"/>
                      <w:bCs/>
                      <w:color w:val="0070C0"/>
                      <w:kern w:val="24"/>
                      <w:sz w:val="20"/>
                      <w:szCs w:val="20"/>
                    </w:rPr>
                    <w:t>22)*</w:t>
                  </w:r>
                  <w:proofErr w:type="gramEnd"/>
                </w:p>
              </w:tc>
            </w:tr>
            <w:tr w:rsidR="004D6E73" w:rsidRPr="003711AF" w14:paraId="3419DE93" w14:textId="0E3C72B3" w:rsidTr="00FE043D">
              <w:tc>
                <w:tcPr>
                  <w:tcW w:w="1026" w:type="dxa"/>
                </w:tcPr>
                <w:p w14:paraId="684C83D5" w14:textId="77777777" w:rsidR="004D6E73" w:rsidRPr="003711AF" w:rsidRDefault="004D6E73" w:rsidP="004D6E73">
                  <w:pPr>
                    <w:spacing w:after="0"/>
                    <w:jc w:val="center"/>
                    <w:rPr>
                      <w:sz w:val="20"/>
                    </w:rPr>
                  </w:pPr>
                  <w:r w:rsidRPr="003711AF">
                    <w:rPr>
                      <w:sz w:val="20"/>
                    </w:rPr>
                    <w:t>MPA</w:t>
                  </w:r>
                </w:p>
              </w:tc>
              <w:tc>
                <w:tcPr>
                  <w:tcW w:w="1276" w:type="dxa"/>
                </w:tcPr>
                <w:p w14:paraId="3DB3FE44" w14:textId="77777777" w:rsidR="004D6E73" w:rsidRPr="003711AF" w:rsidRDefault="004D6E73" w:rsidP="004D6E73">
                  <w:pPr>
                    <w:spacing w:after="0"/>
                    <w:jc w:val="center"/>
                    <w:rPr>
                      <w:sz w:val="20"/>
                    </w:rPr>
                  </w:pPr>
                  <w:r w:rsidRPr="003711AF">
                    <w:rPr>
                      <w:sz w:val="20"/>
                    </w:rPr>
                    <w:t>+0.30(58)</w:t>
                  </w:r>
                </w:p>
              </w:tc>
              <w:tc>
                <w:tcPr>
                  <w:tcW w:w="1275" w:type="dxa"/>
                  <w:tcBorders>
                    <w:top w:val="single" w:sz="4" w:space="0" w:color="auto"/>
                    <w:left w:val="single" w:sz="4" w:space="0" w:color="auto"/>
                    <w:bottom w:val="single" w:sz="4" w:space="0" w:color="auto"/>
                    <w:right w:val="single" w:sz="4" w:space="0" w:color="auto"/>
                  </w:tcBorders>
                </w:tcPr>
                <w:p w14:paraId="3D2E4BAC" w14:textId="77777777" w:rsidR="004D6E73" w:rsidRPr="004D6E73" w:rsidRDefault="004D6E73" w:rsidP="004D6E73">
                  <w:pPr>
                    <w:spacing w:after="0"/>
                    <w:jc w:val="center"/>
                    <w:rPr>
                      <w:rFonts w:cstheme="minorHAnsi"/>
                      <w:bCs/>
                      <w:color w:val="auto"/>
                      <w:kern w:val="24"/>
                      <w:sz w:val="20"/>
                    </w:rPr>
                  </w:pPr>
                  <w:r w:rsidRPr="004D6E73">
                    <w:rPr>
                      <w:rFonts w:cstheme="minorHAnsi"/>
                      <w:bCs/>
                      <w:color w:val="auto"/>
                      <w:kern w:val="24"/>
                      <w:sz w:val="20"/>
                    </w:rPr>
                    <w:t>+0.42 (89)</w:t>
                  </w:r>
                </w:p>
              </w:tc>
              <w:tc>
                <w:tcPr>
                  <w:tcW w:w="1275" w:type="dxa"/>
                  <w:tcBorders>
                    <w:top w:val="single" w:sz="4" w:space="0" w:color="auto"/>
                    <w:left w:val="single" w:sz="4" w:space="0" w:color="auto"/>
                    <w:bottom w:val="single" w:sz="4" w:space="0" w:color="auto"/>
                    <w:right w:val="single" w:sz="4" w:space="0" w:color="auto"/>
                  </w:tcBorders>
                </w:tcPr>
                <w:p w14:paraId="73B13290" w14:textId="36EEC631" w:rsidR="004D6E73" w:rsidRPr="004D6E73" w:rsidRDefault="004D6E73" w:rsidP="004D6E73">
                  <w:pPr>
                    <w:spacing w:after="0"/>
                    <w:jc w:val="center"/>
                    <w:rPr>
                      <w:rFonts w:cstheme="minorHAnsi"/>
                      <w:bCs/>
                      <w:color w:val="0070C0"/>
                      <w:kern w:val="24"/>
                      <w:sz w:val="20"/>
                      <w:szCs w:val="20"/>
                    </w:rPr>
                  </w:pPr>
                  <w:r w:rsidRPr="004D6E73">
                    <w:rPr>
                      <w:rFonts w:cstheme="minorHAnsi"/>
                      <w:bCs/>
                      <w:color w:val="0070C0"/>
                      <w:kern w:val="24"/>
                      <w:sz w:val="20"/>
                      <w:szCs w:val="20"/>
                    </w:rPr>
                    <w:t>+0.10 (82)</w:t>
                  </w:r>
                </w:p>
              </w:tc>
            </w:tr>
            <w:tr w:rsidR="004D6E73" w:rsidRPr="003711AF" w14:paraId="22BC0BC8" w14:textId="79B810CF" w:rsidTr="00FE043D">
              <w:tc>
                <w:tcPr>
                  <w:tcW w:w="1026" w:type="dxa"/>
                </w:tcPr>
                <w:p w14:paraId="5F7C861E" w14:textId="77777777" w:rsidR="004D6E73" w:rsidRPr="003711AF" w:rsidRDefault="004D6E73" w:rsidP="004D6E73">
                  <w:pPr>
                    <w:spacing w:after="0"/>
                    <w:jc w:val="center"/>
                    <w:rPr>
                      <w:sz w:val="20"/>
                    </w:rPr>
                  </w:pPr>
                  <w:r w:rsidRPr="003711AF">
                    <w:rPr>
                      <w:sz w:val="20"/>
                    </w:rPr>
                    <w:t>LPA</w:t>
                  </w:r>
                </w:p>
              </w:tc>
              <w:tc>
                <w:tcPr>
                  <w:tcW w:w="1276" w:type="dxa"/>
                </w:tcPr>
                <w:p w14:paraId="65954E31" w14:textId="77777777" w:rsidR="004D6E73" w:rsidRPr="003711AF" w:rsidRDefault="004D6E73" w:rsidP="004D6E73">
                  <w:pPr>
                    <w:spacing w:after="0"/>
                    <w:jc w:val="center"/>
                    <w:rPr>
                      <w:sz w:val="20"/>
                    </w:rPr>
                  </w:pPr>
                  <w:r w:rsidRPr="003711AF">
                    <w:rPr>
                      <w:sz w:val="20"/>
                    </w:rPr>
                    <w:t>-0.03(13)</w:t>
                  </w:r>
                </w:p>
              </w:tc>
              <w:tc>
                <w:tcPr>
                  <w:tcW w:w="1275" w:type="dxa"/>
                  <w:tcBorders>
                    <w:top w:val="single" w:sz="4" w:space="0" w:color="auto"/>
                    <w:left w:val="single" w:sz="4" w:space="0" w:color="auto"/>
                    <w:bottom w:val="single" w:sz="4" w:space="0" w:color="auto"/>
                    <w:right w:val="single" w:sz="4" w:space="0" w:color="auto"/>
                  </w:tcBorders>
                </w:tcPr>
                <w:p w14:paraId="2BE59CC5" w14:textId="77777777" w:rsidR="004D6E73" w:rsidRPr="004D6E73" w:rsidRDefault="004D6E73" w:rsidP="004D6E73">
                  <w:pPr>
                    <w:spacing w:after="0"/>
                    <w:jc w:val="center"/>
                    <w:rPr>
                      <w:rFonts w:cstheme="minorHAnsi"/>
                      <w:bCs/>
                      <w:color w:val="auto"/>
                      <w:kern w:val="24"/>
                      <w:sz w:val="20"/>
                    </w:rPr>
                  </w:pPr>
                  <w:r w:rsidRPr="004D6E73">
                    <w:rPr>
                      <w:rFonts w:cstheme="minorHAnsi"/>
                      <w:bCs/>
                      <w:color w:val="auto"/>
                      <w:kern w:val="24"/>
                      <w:sz w:val="20"/>
                    </w:rPr>
                    <w:t>+0.27 (33)</w:t>
                  </w:r>
                </w:p>
              </w:tc>
              <w:tc>
                <w:tcPr>
                  <w:tcW w:w="1275" w:type="dxa"/>
                  <w:tcBorders>
                    <w:top w:val="single" w:sz="4" w:space="0" w:color="auto"/>
                    <w:left w:val="single" w:sz="4" w:space="0" w:color="auto"/>
                    <w:bottom w:val="single" w:sz="4" w:space="0" w:color="auto"/>
                    <w:right w:val="single" w:sz="4" w:space="0" w:color="auto"/>
                  </w:tcBorders>
                </w:tcPr>
                <w:p w14:paraId="177D3734" w14:textId="01360CB0" w:rsidR="004D6E73" w:rsidRPr="004D6E73" w:rsidRDefault="004D6E73" w:rsidP="004D6E73">
                  <w:pPr>
                    <w:spacing w:after="0"/>
                    <w:jc w:val="center"/>
                    <w:rPr>
                      <w:rFonts w:cstheme="minorHAnsi"/>
                      <w:bCs/>
                      <w:color w:val="0070C0"/>
                      <w:kern w:val="24"/>
                      <w:sz w:val="20"/>
                      <w:szCs w:val="20"/>
                    </w:rPr>
                  </w:pPr>
                  <w:r w:rsidRPr="004D6E73">
                    <w:rPr>
                      <w:rFonts w:cstheme="minorHAnsi"/>
                      <w:bCs/>
                      <w:color w:val="0070C0"/>
                      <w:kern w:val="24"/>
                      <w:sz w:val="20"/>
                      <w:szCs w:val="20"/>
                    </w:rPr>
                    <w:t>-0.04 (34)</w:t>
                  </w:r>
                </w:p>
              </w:tc>
            </w:tr>
          </w:tbl>
          <w:p w14:paraId="68024CA7" w14:textId="77777777" w:rsidR="003711AF" w:rsidRDefault="003711AF" w:rsidP="00CA798C">
            <w:pPr>
              <w:pStyle w:val="TableRow"/>
              <w:rPr>
                <w:sz w:val="22"/>
              </w:rPr>
            </w:pPr>
          </w:p>
          <w:p w14:paraId="4732AA2D" w14:textId="77777777" w:rsidR="003711AF" w:rsidRDefault="004D6E73" w:rsidP="004D6E73">
            <w:pPr>
              <w:pStyle w:val="TableRow"/>
              <w:ind w:left="0"/>
              <w:rPr>
                <w:rFonts w:asciiTheme="minorHAnsi" w:hAnsiTheme="minorHAnsi" w:cstheme="minorHAnsi"/>
                <w:sz w:val="20"/>
                <w:szCs w:val="20"/>
              </w:rPr>
            </w:pPr>
            <w:r>
              <w:rPr>
                <w:rFonts w:asciiTheme="minorHAnsi" w:hAnsiTheme="minorHAnsi" w:cstheme="minorHAnsi"/>
                <w:sz w:val="20"/>
                <w:szCs w:val="20"/>
              </w:rPr>
              <w:t>Ongoing curriculum reviews showed that curriculum intent in all areas of the school was at least good and TIP documents were used to identify student gaps in knowledge after key assessment points with a focus on disadvantaged students.</w:t>
            </w:r>
          </w:p>
          <w:p w14:paraId="00F7137D" w14:textId="77777777" w:rsidR="004D6E73" w:rsidRDefault="004D6E73" w:rsidP="004D6E73">
            <w:pPr>
              <w:pStyle w:val="TableRow"/>
              <w:ind w:left="0"/>
              <w:rPr>
                <w:rFonts w:asciiTheme="minorHAnsi" w:hAnsiTheme="minorHAnsi" w:cstheme="minorHAnsi"/>
                <w:sz w:val="20"/>
                <w:szCs w:val="20"/>
              </w:rPr>
            </w:pPr>
          </w:p>
          <w:p w14:paraId="21259736" w14:textId="1639CDFF" w:rsidR="004D6E73" w:rsidRPr="004D6E73" w:rsidRDefault="00925281" w:rsidP="004D6E73">
            <w:pPr>
              <w:pStyle w:val="TableRow"/>
              <w:ind w:left="0"/>
              <w:rPr>
                <w:rFonts w:asciiTheme="minorHAnsi" w:hAnsiTheme="minorHAnsi" w:cstheme="minorHAnsi"/>
                <w:sz w:val="20"/>
                <w:szCs w:val="20"/>
              </w:rPr>
            </w:pPr>
            <w:r>
              <w:rPr>
                <w:rFonts w:asciiTheme="minorHAnsi" w:hAnsiTheme="minorHAnsi" w:cstheme="minorHAnsi"/>
                <w:sz w:val="20"/>
                <w:szCs w:val="20"/>
              </w:rPr>
              <w:t>Ongoing CPD and support was given through theory and practice sessions with the priority focus on students knowing and remembering more.</w:t>
            </w:r>
          </w:p>
        </w:tc>
      </w:tr>
      <w:tr w:rsidR="00557992" w14:paraId="692AC57F" w14:textId="77777777" w:rsidTr="003711AF">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FB125" w14:textId="3C83C44D" w:rsidR="00557992" w:rsidRDefault="00FF28AD" w:rsidP="00CA798C">
            <w:pPr>
              <w:pStyle w:val="TableRow"/>
            </w:pPr>
            <w:r>
              <w:t>Targeted Academic Support</w:t>
            </w:r>
          </w:p>
        </w:tc>
        <w:tc>
          <w:tcPr>
            <w:tcW w:w="7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430C9" w14:textId="77777777" w:rsidR="00557992" w:rsidRDefault="00925281" w:rsidP="00CA798C">
            <w:pPr>
              <w:pStyle w:val="TableRow"/>
              <w:ind w:left="0"/>
              <w:rPr>
                <w:rFonts w:asciiTheme="minorHAnsi" w:hAnsiTheme="minorHAnsi" w:cstheme="minorHAnsi"/>
                <w:sz w:val="20"/>
                <w:szCs w:val="20"/>
              </w:rPr>
            </w:pPr>
            <w:r>
              <w:rPr>
                <w:rFonts w:asciiTheme="minorHAnsi" w:hAnsiTheme="minorHAnsi" w:cstheme="minorHAnsi"/>
                <w:sz w:val="20"/>
                <w:szCs w:val="20"/>
              </w:rPr>
              <w:t>Student interventions were put in place and NTP funding was used to support this, underachieving and target students’ parents were involved in the process and increased parental engagement through revision evenings, where resources were provided to students, were run.</w:t>
            </w:r>
          </w:p>
          <w:p w14:paraId="0A1BD799" w14:textId="02DDCF4E" w:rsidR="00925281" w:rsidRPr="004D6E73" w:rsidRDefault="00925281" w:rsidP="00CA798C">
            <w:pPr>
              <w:pStyle w:val="TableRow"/>
              <w:ind w:left="0"/>
              <w:rPr>
                <w:rFonts w:asciiTheme="minorHAnsi" w:hAnsiTheme="minorHAnsi" w:cstheme="minorHAnsi"/>
                <w:sz w:val="20"/>
                <w:szCs w:val="20"/>
              </w:rPr>
            </w:pPr>
            <w:r>
              <w:rPr>
                <w:rFonts w:asciiTheme="minorHAnsi" w:hAnsiTheme="minorHAnsi" w:cstheme="minorHAnsi"/>
                <w:sz w:val="20"/>
                <w:szCs w:val="20"/>
              </w:rPr>
              <w:t>Reading interventions were put in place using data as a tool to identify students, and resourcing purchased with PP funding was used to support.</w:t>
            </w:r>
          </w:p>
        </w:tc>
      </w:tr>
      <w:tr w:rsidR="00557992" w14:paraId="626BE070" w14:textId="77777777" w:rsidTr="003711AF">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78CD4" w14:textId="65186C55" w:rsidR="00557992" w:rsidRDefault="00FF28AD" w:rsidP="00CA798C">
            <w:pPr>
              <w:pStyle w:val="TableRow"/>
            </w:pPr>
            <w:r>
              <w:t>Wider Strategies</w:t>
            </w:r>
          </w:p>
        </w:tc>
        <w:tc>
          <w:tcPr>
            <w:tcW w:w="7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92540" w14:textId="77777777" w:rsidR="00557992" w:rsidRPr="004D6E73" w:rsidRDefault="00243000" w:rsidP="00CA798C">
            <w:pPr>
              <w:pStyle w:val="TableRow"/>
              <w:rPr>
                <w:rFonts w:asciiTheme="minorHAnsi" w:hAnsiTheme="minorHAnsi" w:cstheme="minorHAnsi"/>
                <w:color w:val="auto"/>
                <w:sz w:val="20"/>
                <w:szCs w:val="20"/>
              </w:rPr>
            </w:pPr>
            <w:r w:rsidRPr="004D6E73">
              <w:rPr>
                <w:rFonts w:asciiTheme="minorHAnsi" w:hAnsiTheme="minorHAnsi" w:cstheme="minorHAnsi"/>
                <w:color w:val="auto"/>
                <w:sz w:val="20"/>
                <w:szCs w:val="20"/>
              </w:rPr>
              <w:t xml:space="preserve">Alternative provision has been a success in house and whilst spend on external alternative provision has increased the effectiveness of provision on site has meant that students accessing this provision have either exhausted our provision and needed to </w:t>
            </w:r>
            <w:r w:rsidRPr="004D6E73">
              <w:rPr>
                <w:rFonts w:asciiTheme="minorHAnsi" w:hAnsiTheme="minorHAnsi" w:cstheme="minorHAnsi"/>
                <w:color w:val="auto"/>
                <w:sz w:val="20"/>
                <w:szCs w:val="20"/>
              </w:rPr>
              <w:lastRenderedPageBreak/>
              <w:t>move on to external support or transitioned back to full time timetables. Utilising funding the AQA Unit award scheme has seen students gain recognition for the work they have completed in AP and will build a positive portfolio of skills students can show they have gained when looking for next steps.</w:t>
            </w:r>
          </w:p>
          <w:p w14:paraId="54DE8CD0" w14:textId="77777777" w:rsidR="00243000" w:rsidRPr="004D6E73" w:rsidRDefault="00243000" w:rsidP="00CA798C">
            <w:pPr>
              <w:pStyle w:val="TableRow"/>
              <w:rPr>
                <w:rFonts w:asciiTheme="minorHAnsi" w:hAnsiTheme="minorHAnsi" w:cstheme="minorHAnsi"/>
                <w:color w:val="auto"/>
                <w:sz w:val="20"/>
                <w:szCs w:val="20"/>
              </w:rPr>
            </w:pPr>
            <w:r w:rsidRPr="004D6E73">
              <w:rPr>
                <w:rFonts w:asciiTheme="minorHAnsi" w:hAnsiTheme="minorHAnsi" w:cstheme="minorHAnsi"/>
                <w:color w:val="auto"/>
                <w:sz w:val="20"/>
                <w:szCs w:val="20"/>
              </w:rPr>
              <w:t>Pastoral staffing structure will continue to be monitored throughout this academic year.</w:t>
            </w:r>
          </w:p>
          <w:p w14:paraId="5A53771B" w14:textId="7AA126C9" w:rsidR="00243000" w:rsidRPr="004D6E73" w:rsidRDefault="00243000" w:rsidP="00CA798C">
            <w:pPr>
              <w:pStyle w:val="TableRow"/>
              <w:rPr>
                <w:rFonts w:asciiTheme="minorHAnsi" w:hAnsiTheme="minorHAnsi" w:cstheme="minorHAnsi"/>
                <w:color w:val="auto"/>
                <w:sz w:val="20"/>
                <w:szCs w:val="20"/>
              </w:rPr>
            </w:pPr>
            <w:r w:rsidRPr="004D6E73">
              <w:rPr>
                <w:rFonts w:asciiTheme="minorHAnsi" w:hAnsiTheme="minorHAnsi" w:cstheme="minorHAnsi"/>
                <w:color w:val="auto"/>
                <w:sz w:val="20"/>
                <w:szCs w:val="20"/>
              </w:rPr>
              <w:t xml:space="preserve">Opportunities for extra-curricular activities were funded and supported </w:t>
            </w:r>
            <w:r w:rsidR="00E1255A" w:rsidRPr="004D6E73">
              <w:rPr>
                <w:rFonts w:asciiTheme="minorHAnsi" w:hAnsiTheme="minorHAnsi" w:cstheme="minorHAnsi"/>
                <w:color w:val="auto"/>
                <w:sz w:val="20"/>
                <w:szCs w:val="20"/>
              </w:rPr>
              <w:t>through both the PP and recovery budget. Further opportunities will be provided in the academic year 2</w:t>
            </w:r>
            <w:r w:rsidR="00925281">
              <w:rPr>
                <w:rFonts w:asciiTheme="minorHAnsi" w:hAnsiTheme="minorHAnsi" w:cstheme="minorHAnsi"/>
                <w:color w:val="auto"/>
                <w:sz w:val="20"/>
                <w:szCs w:val="20"/>
              </w:rPr>
              <w:t>3</w:t>
            </w:r>
            <w:r w:rsidR="00E1255A" w:rsidRPr="004D6E73">
              <w:rPr>
                <w:rFonts w:asciiTheme="minorHAnsi" w:hAnsiTheme="minorHAnsi" w:cstheme="minorHAnsi"/>
                <w:color w:val="auto"/>
                <w:sz w:val="20"/>
                <w:szCs w:val="20"/>
              </w:rPr>
              <w:t>-2</w:t>
            </w:r>
            <w:r w:rsidR="00925281">
              <w:rPr>
                <w:rFonts w:asciiTheme="minorHAnsi" w:hAnsiTheme="minorHAnsi" w:cstheme="minorHAnsi"/>
                <w:color w:val="auto"/>
                <w:sz w:val="20"/>
                <w:szCs w:val="20"/>
              </w:rPr>
              <w:t>4</w:t>
            </w:r>
            <w:r w:rsidR="00E1255A" w:rsidRPr="004D6E73">
              <w:rPr>
                <w:rFonts w:asciiTheme="minorHAnsi" w:hAnsiTheme="minorHAnsi" w:cstheme="minorHAnsi"/>
                <w:color w:val="auto"/>
                <w:sz w:val="20"/>
                <w:szCs w:val="20"/>
              </w:rPr>
              <w:t xml:space="preserve"> and additional funding will be made available to ensure disadvantaged students receive greater opportunities than their disadvantaged peers.</w:t>
            </w:r>
          </w:p>
          <w:p w14:paraId="1ADB1972" w14:textId="5D983C6B" w:rsidR="00E1255A" w:rsidRPr="004D6E73" w:rsidRDefault="00E1255A" w:rsidP="00CA798C">
            <w:pPr>
              <w:pStyle w:val="TableRow"/>
              <w:rPr>
                <w:rFonts w:asciiTheme="minorHAnsi" w:hAnsiTheme="minorHAnsi" w:cstheme="minorHAnsi"/>
                <w:color w:val="auto"/>
                <w:sz w:val="20"/>
                <w:szCs w:val="20"/>
              </w:rPr>
            </w:pPr>
            <w:r w:rsidRPr="004D6E73">
              <w:rPr>
                <w:rFonts w:asciiTheme="minorHAnsi" w:hAnsiTheme="minorHAnsi" w:cstheme="minorHAnsi"/>
                <w:color w:val="auto"/>
                <w:sz w:val="20"/>
                <w:szCs w:val="20"/>
              </w:rPr>
              <w:t xml:space="preserve">Funding was spent on resources to fund the personal development curriculum and sessions are now in place for all year groups on a </w:t>
            </w:r>
            <w:proofErr w:type="gramStart"/>
            <w:r w:rsidRPr="004D6E73">
              <w:rPr>
                <w:rFonts w:asciiTheme="minorHAnsi" w:hAnsiTheme="minorHAnsi" w:cstheme="minorHAnsi"/>
                <w:color w:val="auto"/>
                <w:sz w:val="20"/>
                <w:szCs w:val="20"/>
              </w:rPr>
              <w:t>2 weekly</w:t>
            </w:r>
            <w:proofErr w:type="gramEnd"/>
            <w:r w:rsidRPr="004D6E73">
              <w:rPr>
                <w:rFonts w:asciiTheme="minorHAnsi" w:hAnsiTheme="minorHAnsi" w:cstheme="minorHAnsi"/>
                <w:color w:val="auto"/>
                <w:sz w:val="20"/>
                <w:szCs w:val="20"/>
              </w:rPr>
              <w:t xml:space="preserve"> rota. </w:t>
            </w:r>
            <w:r w:rsidR="003C793C" w:rsidRPr="004D6E73">
              <w:rPr>
                <w:rFonts w:asciiTheme="minorHAnsi" w:hAnsiTheme="minorHAnsi" w:cstheme="minorHAnsi"/>
                <w:color w:val="auto"/>
                <w:sz w:val="20"/>
                <w:szCs w:val="20"/>
              </w:rPr>
              <w:t>Additional sessions with external agencies stated below have also been used to support issues as they arise.</w:t>
            </w:r>
          </w:p>
        </w:tc>
      </w:tr>
      <w:bookmarkEnd w:id="21"/>
    </w:tbl>
    <w:p w14:paraId="307A1D24" w14:textId="77777777" w:rsidR="00557992" w:rsidRDefault="00557992"/>
    <w:p w14:paraId="2A7D5549" w14:textId="0F93B89E" w:rsidR="00E66558" w:rsidRPr="00C67115" w:rsidRDefault="009D71E8" w:rsidP="00C67115">
      <w:pPr>
        <w:pStyle w:val="Heading2"/>
        <w:spacing w:before="600"/>
      </w:pPr>
      <w:r>
        <w:t>Externally provided programmes</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4A7C2450" w:rsidR="00E66558" w:rsidRDefault="00A2550B" w:rsidP="004A5D6B">
            <w:pPr>
              <w:pStyle w:val="TableRow"/>
              <w:ind w:left="0"/>
            </w:pPr>
            <w:r>
              <w:t>NTP</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216CEBD8" w:rsidR="00E66558" w:rsidRDefault="00A2550B" w:rsidP="004A5D6B">
            <w:pPr>
              <w:pStyle w:val="TableRowCentered"/>
              <w:ind w:left="0"/>
              <w:jc w:val="left"/>
            </w:pPr>
            <w:r>
              <w:t>MyTutor</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37F07DC3" w:rsidR="00E66558" w:rsidRDefault="00A2550B" w:rsidP="00A2550B">
            <w:pPr>
              <w:pStyle w:val="TableRow"/>
              <w:ind w:left="0"/>
            </w:pPr>
            <w:r>
              <w:t>Revision and Study Skills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1D1F9596" w:rsidR="00E66558" w:rsidRDefault="00A2550B">
            <w:pPr>
              <w:pStyle w:val="TableRowCentered"/>
              <w:jc w:val="left"/>
            </w:pPr>
            <w:r>
              <w:t>Elev8</w:t>
            </w:r>
          </w:p>
        </w:tc>
      </w:tr>
      <w:tr w:rsidR="00A2550B" w14:paraId="14BDB84B"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359ED" w14:textId="673D2A45" w:rsidR="00A2550B" w:rsidRDefault="00A2550B">
            <w:pPr>
              <w:pStyle w:val="TableRow"/>
            </w:pPr>
            <w:r>
              <w:t>Knife Crime</w:t>
            </w:r>
            <w:r w:rsidR="00234550">
              <w:t xml:space="preserve"> / E-safety / Drugs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DAFCB" w14:textId="2BFCAF1E" w:rsidR="00A2550B" w:rsidRDefault="00A2550B">
            <w:pPr>
              <w:pStyle w:val="TableRowCentered"/>
              <w:jc w:val="left"/>
            </w:pPr>
            <w:r>
              <w:t>West Midlands Police</w:t>
            </w:r>
          </w:p>
        </w:tc>
      </w:tr>
      <w:tr w:rsidR="00A2550B" w14:paraId="63F4FB3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E9F24" w14:textId="7AEA2DBC" w:rsidR="00A2550B" w:rsidRDefault="00A2550B" w:rsidP="00A2550B">
            <w:pPr>
              <w:pStyle w:val="TableRow"/>
              <w:ind w:left="0"/>
            </w:pPr>
            <w:r>
              <w:t>Relationships</w:t>
            </w:r>
            <w:r w:rsidR="00234550">
              <w:t xml:space="preserve"> / Sexual Health</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BE31F" w14:textId="618A2CFB" w:rsidR="00A2550B" w:rsidRDefault="00A2550B">
            <w:pPr>
              <w:pStyle w:val="TableRowCentered"/>
              <w:jc w:val="left"/>
            </w:pPr>
            <w:r>
              <w:t>Loudmouth</w:t>
            </w:r>
          </w:p>
        </w:tc>
      </w:tr>
      <w:tr w:rsidR="00A2550B" w14:paraId="66B4A8B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DA7E6" w14:textId="4A30E326" w:rsidR="00A2550B" w:rsidRDefault="00234550" w:rsidP="00234550">
            <w:pPr>
              <w:pStyle w:val="TableRow"/>
              <w:ind w:left="0"/>
            </w:pPr>
            <w:r>
              <w:t>Mental Health and Wellbeing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EE504" w14:textId="2D824F89" w:rsidR="00A2550B" w:rsidRDefault="00234550">
            <w:pPr>
              <w:pStyle w:val="TableRowCentered"/>
              <w:jc w:val="left"/>
            </w:pPr>
            <w:proofErr w:type="spellStart"/>
            <w:r>
              <w:t>Kooth</w:t>
            </w:r>
            <w:proofErr w:type="spellEnd"/>
          </w:p>
        </w:tc>
      </w:tr>
    </w:tbl>
    <w:p w14:paraId="3F6C50C2" w14:textId="77777777" w:rsidR="000974A6" w:rsidRDefault="000974A6" w:rsidP="000974A6">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0974A6" w14:paraId="6925F785" w14:textId="77777777" w:rsidTr="00790F6C">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65BF2" w14:textId="77777777" w:rsidR="00587E63" w:rsidRPr="00A50F03" w:rsidRDefault="00587E63" w:rsidP="00587E63">
            <w:pPr>
              <w:suppressAutoHyphens w:val="0"/>
              <w:autoSpaceDN/>
              <w:spacing w:before="120" w:after="120"/>
              <w:rPr>
                <w:rFonts w:cs="Arial"/>
                <w:b/>
                <w:bCs/>
                <w:iCs/>
                <w:color w:val="auto"/>
                <w:lang w:eastAsia="en-US"/>
              </w:rPr>
            </w:pPr>
            <w:r w:rsidRPr="00A50F03">
              <w:rPr>
                <w:rFonts w:cs="Arial"/>
                <w:b/>
                <w:bCs/>
                <w:iCs/>
                <w:color w:val="auto"/>
                <w:lang w:eastAsia="en-US"/>
              </w:rPr>
              <w:t>Additional activity</w:t>
            </w:r>
          </w:p>
          <w:p w14:paraId="561911BD" w14:textId="0ABBD101" w:rsidR="002F5FF9" w:rsidRPr="00A50F03" w:rsidRDefault="002F5FF9" w:rsidP="000D6CCE">
            <w:pPr>
              <w:pStyle w:val="ListParagraph"/>
              <w:numPr>
                <w:ilvl w:val="0"/>
                <w:numId w:val="19"/>
              </w:numPr>
              <w:suppressAutoHyphens w:val="0"/>
              <w:autoSpaceDN/>
              <w:spacing w:before="60"/>
              <w:ind w:left="714" w:hanging="357"/>
              <w:contextualSpacing w:val="0"/>
              <w:rPr>
                <w:rFonts w:cs="Arial"/>
                <w:iCs/>
                <w:color w:val="auto"/>
                <w:lang w:eastAsia="en-US"/>
              </w:rPr>
            </w:pPr>
            <w:r w:rsidRPr="00A50F03">
              <w:rPr>
                <w:rFonts w:cs="Arial"/>
                <w:iCs/>
                <w:color w:val="auto"/>
                <w:lang w:eastAsia="en-US"/>
              </w:rPr>
              <w:t xml:space="preserve"> </w:t>
            </w:r>
          </w:p>
          <w:p w14:paraId="2A008E34" w14:textId="77777777" w:rsidR="00556D79" w:rsidRPr="00A50F03" w:rsidRDefault="00556D79" w:rsidP="00A96EC8">
            <w:pPr>
              <w:suppressAutoHyphens w:val="0"/>
              <w:autoSpaceDN/>
              <w:spacing w:before="120" w:after="120"/>
              <w:rPr>
                <w:rFonts w:cs="Arial"/>
                <w:b/>
                <w:bCs/>
                <w:iCs/>
                <w:color w:val="auto"/>
                <w:lang w:eastAsia="en-US"/>
              </w:rPr>
            </w:pPr>
            <w:r w:rsidRPr="00A50F03">
              <w:rPr>
                <w:rFonts w:cs="Arial"/>
                <w:b/>
                <w:bCs/>
                <w:iCs/>
                <w:color w:val="auto"/>
                <w:lang w:eastAsia="en-US"/>
              </w:rPr>
              <w:t>Planning, implementation, and evaluation</w:t>
            </w:r>
          </w:p>
          <w:p w14:paraId="435D30CD" w14:textId="75A3CB21" w:rsidR="000974A6" w:rsidRPr="000974A6" w:rsidRDefault="000974A6" w:rsidP="000B48EE">
            <w:pPr>
              <w:spacing w:before="120" w:after="120"/>
              <w:rPr>
                <w:i/>
                <w:iCs/>
                <w:color w:val="0070C0"/>
              </w:rPr>
            </w:pPr>
          </w:p>
        </w:tc>
      </w:tr>
      <w:bookmarkEnd w:id="15"/>
      <w:bookmarkEnd w:id="16"/>
      <w:bookmarkEnd w:id="17"/>
    </w:tbl>
    <w:p w14:paraId="2A7D5564" w14:textId="77777777" w:rsidR="00E66558" w:rsidRDefault="00E66558"/>
    <w:sectPr w:rsidR="00E66558">
      <w:headerReference w:type="default" r:id="rId18"/>
      <w:footerReference w:type="default" r:id="rId19"/>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87A2F" w14:textId="77777777" w:rsidR="000C105F" w:rsidRDefault="000C105F">
      <w:pPr>
        <w:spacing w:after="0" w:line="240" w:lineRule="auto"/>
      </w:pPr>
      <w:r>
        <w:separator/>
      </w:r>
    </w:p>
  </w:endnote>
  <w:endnote w:type="continuationSeparator" w:id="0">
    <w:p w14:paraId="3D1308A0" w14:textId="77777777" w:rsidR="000C105F" w:rsidRDefault="000C105F">
      <w:pPr>
        <w:spacing w:after="0" w:line="240" w:lineRule="auto"/>
      </w:pPr>
      <w:r>
        <w:continuationSeparator/>
      </w:r>
    </w:p>
  </w:endnote>
  <w:endnote w:type="continuationNotice" w:id="1">
    <w:p w14:paraId="66BB100A" w14:textId="77777777" w:rsidR="000C105F" w:rsidRDefault="000C10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790F6C"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0B703" w14:textId="77777777" w:rsidR="000C105F" w:rsidRDefault="000C105F">
      <w:pPr>
        <w:spacing w:after="0" w:line="240" w:lineRule="auto"/>
      </w:pPr>
      <w:r>
        <w:separator/>
      </w:r>
    </w:p>
  </w:footnote>
  <w:footnote w:type="continuationSeparator" w:id="0">
    <w:p w14:paraId="25DDE84C" w14:textId="77777777" w:rsidR="000C105F" w:rsidRDefault="000C105F">
      <w:pPr>
        <w:spacing w:after="0" w:line="240" w:lineRule="auto"/>
      </w:pPr>
      <w:r>
        <w:continuationSeparator/>
      </w:r>
    </w:p>
  </w:footnote>
  <w:footnote w:type="continuationNotice" w:id="1">
    <w:p w14:paraId="333B416D" w14:textId="77777777" w:rsidR="000C105F" w:rsidRDefault="000C10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790F6C" w:rsidRDefault="00790F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D156A"/>
    <w:multiLevelType w:val="hybridMultilevel"/>
    <w:tmpl w:val="41F49DCA"/>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 w15:restartNumberingAfterBreak="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CCD27B1"/>
    <w:multiLevelType w:val="hybridMultilevel"/>
    <w:tmpl w:val="DA90807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 w15:restartNumberingAfterBreak="0">
    <w:nsid w:val="1FBB0B72"/>
    <w:multiLevelType w:val="hybridMultilevel"/>
    <w:tmpl w:val="7B4EF302"/>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5"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9"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35721765"/>
    <w:multiLevelType w:val="hybridMultilevel"/>
    <w:tmpl w:val="40208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2"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46D358A4"/>
    <w:multiLevelType w:val="hybridMultilevel"/>
    <w:tmpl w:val="8ECA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D26892"/>
    <w:multiLevelType w:val="hybridMultilevel"/>
    <w:tmpl w:val="E45E7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C51AEF"/>
    <w:multiLevelType w:val="hybridMultilevel"/>
    <w:tmpl w:val="D06E9EA2"/>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16"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6A91E88"/>
    <w:multiLevelType w:val="hybridMultilevel"/>
    <w:tmpl w:val="A0BA8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0"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21" w15:restartNumberingAfterBreak="0">
    <w:nsid w:val="6EBC7463"/>
    <w:multiLevelType w:val="hybridMultilevel"/>
    <w:tmpl w:val="96C6D47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2" w15:restartNumberingAfterBreak="0">
    <w:nsid w:val="70DC6BCC"/>
    <w:multiLevelType w:val="hybridMultilevel"/>
    <w:tmpl w:val="6B5E8102"/>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2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7CA4D55"/>
    <w:multiLevelType w:val="hybridMultilevel"/>
    <w:tmpl w:val="1BF87C10"/>
    <w:lvl w:ilvl="0" w:tplc="08090001">
      <w:start w:val="1"/>
      <w:numFmt w:val="bullet"/>
      <w:lvlText w:val=""/>
      <w:lvlJc w:val="left"/>
      <w:pPr>
        <w:ind w:left="395" w:hanging="360"/>
      </w:pPr>
      <w:rPr>
        <w:rFonts w:ascii="Symbol" w:hAnsi="Symbol" w:hint="default"/>
      </w:rPr>
    </w:lvl>
    <w:lvl w:ilvl="1" w:tplc="08090003" w:tentative="1">
      <w:start w:val="1"/>
      <w:numFmt w:val="bullet"/>
      <w:lvlText w:val="o"/>
      <w:lvlJc w:val="left"/>
      <w:pPr>
        <w:ind w:left="1115" w:hanging="360"/>
      </w:pPr>
      <w:rPr>
        <w:rFonts w:ascii="Courier New" w:hAnsi="Courier New" w:cs="Courier New" w:hint="default"/>
      </w:rPr>
    </w:lvl>
    <w:lvl w:ilvl="2" w:tplc="08090005" w:tentative="1">
      <w:start w:val="1"/>
      <w:numFmt w:val="bullet"/>
      <w:lvlText w:val=""/>
      <w:lvlJc w:val="left"/>
      <w:pPr>
        <w:ind w:left="1835" w:hanging="360"/>
      </w:pPr>
      <w:rPr>
        <w:rFonts w:ascii="Wingdings" w:hAnsi="Wingdings" w:hint="default"/>
      </w:rPr>
    </w:lvl>
    <w:lvl w:ilvl="3" w:tplc="08090001" w:tentative="1">
      <w:start w:val="1"/>
      <w:numFmt w:val="bullet"/>
      <w:lvlText w:val=""/>
      <w:lvlJc w:val="left"/>
      <w:pPr>
        <w:ind w:left="2555" w:hanging="360"/>
      </w:pPr>
      <w:rPr>
        <w:rFonts w:ascii="Symbol" w:hAnsi="Symbol" w:hint="default"/>
      </w:rPr>
    </w:lvl>
    <w:lvl w:ilvl="4" w:tplc="08090003" w:tentative="1">
      <w:start w:val="1"/>
      <w:numFmt w:val="bullet"/>
      <w:lvlText w:val="o"/>
      <w:lvlJc w:val="left"/>
      <w:pPr>
        <w:ind w:left="3275" w:hanging="360"/>
      </w:pPr>
      <w:rPr>
        <w:rFonts w:ascii="Courier New" w:hAnsi="Courier New" w:cs="Courier New" w:hint="default"/>
      </w:rPr>
    </w:lvl>
    <w:lvl w:ilvl="5" w:tplc="08090005" w:tentative="1">
      <w:start w:val="1"/>
      <w:numFmt w:val="bullet"/>
      <w:lvlText w:val=""/>
      <w:lvlJc w:val="left"/>
      <w:pPr>
        <w:ind w:left="3995" w:hanging="360"/>
      </w:pPr>
      <w:rPr>
        <w:rFonts w:ascii="Wingdings" w:hAnsi="Wingdings" w:hint="default"/>
      </w:rPr>
    </w:lvl>
    <w:lvl w:ilvl="6" w:tplc="08090001" w:tentative="1">
      <w:start w:val="1"/>
      <w:numFmt w:val="bullet"/>
      <w:lvlText w:val=""/>
      <w:lvlJc w:val="left"/>
      <w:pPr>
        <w:ind w:left="4715" w:hanging="360"/>
      </w:pPr>
      <w:rPr>
        <w:rFonts w:ascii="Symbol" w:hAnsi="Symbol" w:hint="default"/>
      </w:rPr>
    </w:lvl>
    <w:lvl w:ilvl="7" w:tplc="08090003" w:tentative="1">
      <w:start w:val="1"/>
      <w:numFmt w:val="bullet"/>
      <w:lvlText w:val="o"/>
      <w:lvlJc w:val="left"/>
      <w:pPr>
        <w:ind w:left="5435" w:hanging="360"/>
      </w:pPr>
      <w:rPr>
        <w:rFonts w:ascii="Courier New" w:hAnsi="Courier New" w:cs="Courier New" w:hint="default"/>
      </w:rPr>
    </w:lvl>
    <w:lvl w:ilvl="8" w:tplc="08090005" w:tentative="1">
      <w:start w:val="1"/>
      <w:numFmt w:val="bullet"/>
      <w:lvlText w:val=""/>
      <w:lvlJc w:val="left"/>
      <w:pPr>
        <w:ind w:left="6155" w:hanging="360"/>
      </w:pPr>
      <w:rPr>
        <w:rFonts w:ascii="Wingdings" w:hAnsi="Wingdings" w:hint="default"/>
      </w:rPr>
    </w:lvl>
  </w:abstractNum>
  <w:num w:numId="1">
    <w:abstractNumId w:val="7"/>
  </w:num>
  <w:num w:numId="2">
    <w:abstractNumId w:val="5"/>
  </w:num>
  <w:num w:numId="3">
    <w:abstractNumId w:val="8"/>
  </w:num>
  <w:num w:numId="4">
    <w:abstractNumId w:val="9"/>
  </w:num>
  <w:num w:numId="5">
    <w:abstractNumId w:val="2"/>
  </w:num>
  <w:num w:numId="6">
    <w:abstractNumId w:val="12"/>
  </w:num>
  <w:num w:numId="7">
    <w:abstractNumId w:val="18"/>
  </w:num>
  <w:num w:numId="8">
    <w:abstractNumId w:val="25"/>
  </w:num>
  <w:num w:numId="9">
    <w:abstractNumId w:val="23"/>
  </w:num>
  <w:num w:numId="10">
    <w:abstractNumId w:val="19"/>
  </w:num>
  <w:num w:numId="11">
    <w:abstractNumId w:val="6"/>
  </w:num>
  <w:num w:numId="12">
    <w:abstractNumId w:val="24"/>
  </w:num>
  <w:num w:numId="13">
    <w:abstractNumId w:val="16"/>
  </w:num>
  <w:num w:numId="14">
    <w:abstractNumId w:val="14"/>
  </w:num>
  <w:num w:numId="15">
    <w:abstractNumId w:val="3"/>
  </w:num>
  <w:num w:numId="16">
    <w:abstractNumId w:val="22"/>
  </w:num>
  <w:num w:numId="17">
    <w:abstractNumId w:val="4"/>
  </w:num>
  <w:num w:numId="18">
    <w:abstractNumId w:val="26"/>
  </w:num>
  <w:num w:numId="19">
    <w:abstractNumId w:val="17"/>
  </w:num>
  <w:num w:numId="20">
    <w:abstractNumId w:val="1"/>
  </w:num>
  <w:num w:numId="21">
    <w:abstractNumId w:val="11"/>
  </w:num>
  <w:num w:numId="22">
    <w:abstractNumId w:val="15"/>
  </w:num>
  <w:num w:numId="23">
    <w:abstractNumId w:val="0"/>
  </w:num>
  <w:num w:numId="24">
    <w:abstractNumId w:val="13"/>
  </w:num>
  <w:num w:numId="25">
    <w:abstractNumId w:val="20"/>
  </w:num>
  <w:num w:numId="26">
    <w:abstractNumId w:val="1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1791"/>
    <w:rsid w:val="0000362A"/>
    <w:rsid w:val="00006EF1"/>
    <w:rsid w:val="000074CA"/>
    <w:rsid w:val="00011C89"/>
    <w:rsid w:val="00016C7E"/>
    <w:rsid w:val="000228A4"/>
    <w:rsid w:val="00023E73"/>
    <w:rsid w:val="0002439E"/>
    <w:rsid w:val="00030095"/>
    <w:rsid w:val="000307D2"/>
    <w:rsid w:val="00031A6E"/>
    <w:rsid w:val="00032974"/>
    <w:rsid w:val="00032F34"/>
    <w:rsid w:val="00033073"/>
    <w:rsid w:val="00036189"/>
    <w:rsid w:val="00036BC2"/>
    <w:rsid w:val="00037AA4"/>
    <w:rsid w:val="0004076D"/>
    <w:rsid w:val="000409C7"/>
    <w:rsid w:val="00040B4E"/>
    <w:rsid w:val="000413FA"/>
    <w:rsid w:val="00041685"/>
    <w:rsid w:val="00042462"/>
    <w:rsid w:val="00042F35"/>
    <w:rsid w:val="000459A3"/>
    <w:rsid w:val="00047A97"/>
    <w:rsid w:val="00047E9C"/>
    <w:rsid w:val="00050428"/>
    <w:rsid w:val="000540D7"/>
    <w:rsid w:val="00062216"/>
    <w:rsid w:val="00063B09"/>
    <w:rsid w:val="00064DE5"/>
    <w:rsid w:val="00064F88"/>
    <w:rsid w:val="00065F13"/>
    <w:rsid w:val="00065F33"/>
    <w:rsid w:val="00066B73"/>
    <w:rsid w:val="00066FC8"/>
    <w:rsid w:val="00067B20"/>
    <w:rsid w:val="000703F4"/>
    <w:rsid w:val="000720CB"/>
    <w:rsid w:val="000727A7"/>
    <w:rsid w:val="0007318C"/>
    <w:rsid w:val="000735E7"/>
    <w:rsid w:val="00073C97"/>
    <w:rsid w:val="00073D44"/>
    <w:rsid w:val="000747A1"/>
    <w:rsid w:val="00074DBF"/>
    <w:rsid w:val="00075641"/>
    <w:rsid w:val="000802FB"/>
    <w:rsid w:val="00080F56"/>
    <w:rsid w:val="0008119B"/>
    <w:rsid w:val="00081D59"/>
    <w:rsid w:val="00081E73"/>
    <w:rsid w:val="0008503E"/>
    <w:rsid w:val="000857DA"/>
    <w:rsid w:val="00091B15"/>
    <w:rsid w:val="0009295B"/>
    <w:rsid w:val="000941DC"/>
    <w:rsid w:val="000946B4"/>
    <w:rsid w:val="0009531B"/>
    <w:rsid w:val="000974A6"/>
    <w:rsid w:val="0009773E"/>
    <w:rsid w:val="00097E2A"/>
    <w:rsid w:val="000A019A"/>
    <w:rsid w:val="000A04EE"/>
    <w:rsid w:val="000A152A"/>
    <w:rsid w:val="000A1BB9"/>
    <w:rsid w:val="000A2D0E"/>
    <w:rsid w:val="000A5154"/>
    <w:rsid w:val="000A5AFC"/>
    <w:rsid w:val="000A5C0C"/>
    <w:rsid w:val="000A61B7"/>
    <w:rsid w:val="000A7E90"/>
    <w:rsid w:val="000B056A"/>
    <w:rsid w:val="000B1C8C"/>
    <w:rsid w:val="000B21C1"/>
    <w:rsid w:val="000B2E80"/>
    <w:rsid w:val="000B39CE"/>
    <w:rsid w:val="000B445B"/>
    <w:rsid w:val="000B48EE"/>
    <w:rsid w:val="000B4E3D"/>
    <w:rsid w:val="000B5004"/>
    <w:rsid w:val="000B52D0"/>
    <w:rsid w:val="000B764A"/>
    <w:rsid w:val="000C105F"/>
    <w:rsid w:val="000C21DC"/>
    <w:rsid w:val="000C2603"/>
    <w:rsid w:val="000C682C"/>
    <w:rsid w:val="000C6BB1"/>
    <w:rsid w:val="000D1053"/>
    <w:rsid w:val="000D1ED8"/>
    <w:rsid w:val="000D263A"/>
    <w:rsid w:val="000D2679"/>
    <w:rsid w:val="000D3D9B"/>
    <w:rsid w:val="000D4202"/>
    <w:rsid w:val="000D4404"/>
    <w:rsid w:val="000D498D"/>
    <w:rsid w:val="000D501F"/>
    <w:rsid w:val="000D59C0"/>
    <w:rsid w:val="000D626A"/>
    <w:rsid w:val="000D6CCE"/>
    <w:rsid w:val="000E067B"/>
    <w:rsid w:val="000E1D7D"/>
    <w:rsid w:val="000E2672"/>
    <w:rsid w:val="000E309A"/>
    <w:rsid w:val="000E342F"/>
    <w:rsid w:val="000E53EF"/>
    <w:rsid w:val="000E674C"/>
    <w:rsid w:val="000F2050"/>
    <w:rsid w:val="000F51B5"/>
    <w:rsid w:val="000F5923"/>
    <w:rsid w:val="000F5D85"/>
    <w:rsid w:val="001024B3"/>
    <w:rsid w:val="0010281E"/>
    <w:rsid w:val="00102889"/>
    <w:rsid w:val="00103B56"/>
    <w:rsid w:val="00105182"/>
    <w:rsid w:val="00106A67"/>
    <w:rsid w:val="001071BE"/>
    <w:rsid w:val="001106F9"/>
    <w:rsid w:val="00110AAA"/>
    <w:rsid w:val="0011227A"/>
    <w:rsid w:val="00114D0E"/>
    <w:rsid w:val="00115C4E"/>
    <w:rsid w:val="00116794"/>
    <w:rsid w:val="00116A67"/>
    <w:rsid w:val="001206B6"/>
    <w:rsid w:val="00120AB1"/>
    <w:rsid w:val="001221AD"/>
    <w:rsid w:val="00124F74"/>
    <w:rsid w:val="0012686A"/>
    <w:rsid w:val="00126C9A"/>
    <w:rsid w:val="00127422"/>
    <w:rsid w:val="0013028D"/>
    <w:rsid w:val="0013045C"/>
    <w:rsid w:val="00130E49"/>
    <w:rsid w:val="00131ACA"/>
    <w:rsid w:val="00134362"/>
    <w:rsid w:val="00135069"/>
    <w:rsid w:val="001365B4"/>
    <w:rsid w:val="001407CC"/>
    <w:rsid w:val="00141F2D"/>
    <w:rsid w:val="001420F6"/>
    <w:rsid w:val="00143832"/>
    <w:rsid w:val="00143A41"/>
    <w:rsid w:val="00144083"/>
    <w:rsid w:val="001444F4"/>
    <w:rsid w:val="00145A01"/>
    <w:rsid w:val="001462C9"/>
    <w:rsid w:val="00147A0A"/>
    <w:rsid w:val="00147A14"/>
    <w:rsid w:val="00150283"/>
    <w:rsid w:val="0015040D"/>
    <w:rsid w:val="00150DDF"/>
    <w:rsid w:val="00151E34"/>
    <w:rsid w:val="00152033"/>
    <w:rsid w:val="00153BF3"/>
    <w:rsid w:val="00154629"/>
    <w:rsid w:val="0015475A"/>
    <w:rsid w:val="00155BFD"/>
    <w:rsid w:val="001561E3"/>
    <w:rsid w:val="00156AB5"/>
    <w:rsid w:val="00160F5D"/>
    <w:rsid w:val="00161FB8"/>
    <w:rsid w:val="00162652"/>
    <w:rsid w:val="00164F8E"/>
    <w:rsid w:val="00165254"/>
    <w:rsid w:val="0016715F"/>
    <w:rsid w:val="00170A3E"/>
    <w:rsid w:val="00171CA8"/>
    <w:rsid w:val="00172994"/>
    <w:rsid w:val="00175112"/>
    <w:rsid w:val="0017589A"/>
    <w:rsid w:val="001768CE"/>
    <w:rsid w:val="00176F70"/>
    <w:rsid w:val="00180190"/>
    <w:rsid w:val="00181C32"/>
    <w:rsid w:val="0018332E"/>
    <w:rsid w:val="00183CED"/>
    <w:rsid w:val="00186164"/>
    <w:rsid w:val="00186454"/>
    <w:rsid w:val="0019193B"/>
    <w:rsid w:val="0019422C"/>
    <w:rsid w:val="0019477F"/>
    <w:rsid w:val="001A0790"/>
    <w:rsid w:val="001A07BE"/>
    <w:rsid w:val="001A1788"/>
    <w:rsid w:val="001A2601"/>
    <w:rsid w:val="001A4C48"/>
    <w:rsid w:val="001A5D54"/>
    <w:rsid w:val="001A7C26"/>
    <w:rsid w:val="001B0861"/>
    <w:rsid w:val="001B1120"/>
    <w:rsid w:val="001B1336"/>
    <w:rsid w:val="001B1829"/>
    <w:rsid w:val="001B3219"/>
    <w:rsid w:val="001B6F6C"/>
    <w:rsid w:val="001C0812"/>
    <w:rsid w:val="001C09CB"/>
    <w:rsid w:val="001C57A6"/>
    <w:rsid w:val="001C6527"/>
    <w:rsid w:val="001C6758"/>
    <w:rsid w:val="001C776A"/>
    <w:rsid w:val="001D035F"/>
    <w:rsid w:val="001D0867"/>
    <w:rsid w:val="001D1180"/>
    <w:rsid w:val="001D373E"/>
    <w:rsid w:val="001D3A38"/>
    <w:rsid w:val="001D3AB2"/>
    <w:rsid w:val="001D479B"/>
    <w:rsid w:val="001D6E81"/>
    <w:rsid w:val="001E46A8"/>
    <w:rsid w:val="001F2359"/>
    <w:rsid w:val="001F27E6"/>
    <w:rsid w:val="001F3FB3"/>
    <w:rsid w:val="001F40B8"/>
    <w:rsid w:val="001F4577"/>
    <w:rsid w:val="001F4891"/>
    <w:rsid w:val="001F595D"/>
    <w:rsid w:val="001F7CA2"/>
    <w:rsid w:val="002004FC"/>
    <w:rsid w:val="00201874"/>
    <w:rsid w:val="00204D24"/>
    <w:rsid w:val="00205F4B"/>
    <w:rsid w:val="002065F4"/>
    <w:rsid w:val="002066DE"/>
    <w:rsid w:val="00206E24"/>
    <w:rsid w:val="00210227"/>
    <w:rsid w:val="00211687"/>
    <w:rsid w:val="00211A1A"/>
    <w:rsid w:val="0021264A"/>
    <w:rsid w:val="00215026"/>
    <w:rsid w:val="00216763"/>
    <w:rsid w:val="0021763A"/>
    <w:rsid w:val="00217732"/>
    <w:rsid w:val="00221748"/>
    <w:rsid w:val="002233AE"/>
    <w:rsid w:val="0022352B"/>
    <w:rsid w:val="00223DC8"/>
    <w:rsid w:val="00224420"/>
    <w:rsid w:val="00226A9A"/>
    <w:rsid w:val="00227C1A"/>
    <w:rsid w:val="00230E04"/>
    <w:rsid w:val="0023145C"/>
    <w:rsid w:val="00233900"/>
    <w:rsid w:val="00234550"/>
    <w:rsid w:val="002357BD"/>
    <w:rsid w:val="0024045F"/>
    <w:rsid w:val="00240EAA"/>
    <w:rsid w:val="00241319"/>
    <w:rsid w:val="00241EC4"/>
    <w:rsid w:val="00242B83"/>
    <w:rsid w:val="00243000"/>
    <w:rsid w:val="00243A6B"/>
    <w:rsid w:val="00244073"/>
    <w:rsid w:val="00245241"/>
    <w:rsid w:val="002456E0"/>
    <w:rsid w:val="00246780"/>
    <w:rsid w:val="00246DD9"/>
    <w:rsid w:val="0024709E"/>
    <w:rsid w:val="0024770A"/>
    <w:rsid w:val="002478D7"/>
    <w:rsid w:val="0025082E"/>
    <w:rsid w:val="00251002"/>
    <w:rsid w:val="00251372"/>
    <w:rsid w:val="00254F63"/>
    <w:rsid w:val="00255C0F"/>
    <w:rsid w:val="0025698E"/>
    <w:rsid w:val="00257F07"/>
    <w:rsid w:val="0026085C"/>
    <w:rsid w:val="0026177E"/>
    <w:rsid w:val="00262DB7"/>
    <w:rsid w:val="00263510"/>
    <w:rsid w:val="002641BB"/>
    <w:rsid w:val="00264C30"/>
    <w:rsid w:val="002661FD"/>
    <w:rsid w:val="00271514"/>
    <w:rsid w:val="002719CE"/>
    <w:rsid w:val="00272065"/>
    <w:rsid w:val="00272CE3"/>
    <w:rsid w:val="002744A8"/>
    <w:rsid w:val="00274809"/>
    <w:rsid w:val="00274E37"/>
    <w:rsid w:val="00276B84"/>
    <w:rsid w:val="002773CE"/>
    <w:rsid w:val="00277FF7"/>
    <w:rsid w:val="002815B6"/>
    <w:rsid w:val="002825F5"/>
    <w:rsid w:val="00282B32"/>
    <w:rsid w:val="002849C9"/>
    <w:rsid w:val="0028625C"/>
    <w:rsid w:val="0028660F"/>
    <w:rsid w:val="00286D85"/>
    <w:rsid w:val="00287EF0"/>
    <w:rsid w:val="002901AF"/>
    <w:rsid w:val="00291257"/>
    <w:rsid w:val="00292C31"/>
    <w:rsid w:val="00293A39"/>
    <w:rsid w:val="0029452A"/>
    <w:rsid w:val="00294537"/>
    <w:rsid w:val="002965DF"/>
    <w:rsid w:val="002973F3"/>
    <w:rsid w:val="0029775B"/>
    <w:rsid w:val="00297B17"/>
    <w:rsid w:val="00297DE7"/>
    <w:rsid w:val="002A0E59"/>
    <w:rsid w:val="002A17E1"/>
    <w:rsid w:val="002A222F"/>
    <w:rsid w:val="002A3F7B"/>
    <w:rsid w:val="002A53C7"/>
    <w:rsid w:val="002A6291"/>
    <w:rsid w:val="002A7180"/>
    <w:rsid w:val="002A7C30"/>
    <w:rsid w:val="002B00AE"/>
    <w:rsid w:val="002B1290"/>
    <w:rsid w:val="002B1689"/>
    <w:rsid w:val="002B1AE9"/>
    <w:rsid w:val="002B218A"/>
    <w:rsid w:val="002B2297"/>
    <w:rsid w:val="002B2805"/>
    <w:rsid w:val="002B2B82"/>
    <w:rsid w:val="002B3922"/>
    <w:rsid w:val="002B4AF2"/>
    <w:rsid w:val="002B58A4"/>
    <w:rsid w:val="002B6D2B"/>
    <w:rsid w:val="002C5564"/>
    <w:rsid w:val="002C73F2"/>
    <w:rsid w:val="002D020C"/>
    <w:rsid w:val="002D02B7"/>
    <w:rsid w:val="002D077A"/>
    <w:rsid w:val="002D0D6D"/>
    <w:rsid w:val="002D0FD7"/>
    <w:rsid w:val="002D1745"/>
    <w:rsid w:val="002D2625"/>
    <w:rsid w:val="002D31F0"/>
    <w:rsid w:val="002D3D18"/>
    <w:rsid w:val="002D4754"/>
    <w:rsid w:val="002D5A89"/>
    <w:rsid w:val="002D6E56"/>
    <w:rsid w:val="002D7024"/>
    <w:rsid w:val="002E0A90"/>
    <w:rsid w:val="002E2FDE"/>
    <w:rsid w:val="002E40C1"/>
    <w:rsid w:val="002E45BC"/>
    <w:rsid w:val="002E5A71"/>
    <w:rsid w:val="002E75FC"/>
    <w:rsid w:val="002F032D"/>
    <w:rsid w:val="002F06F5"/>
    <w:rsid w:val="002F0E8B"/>
    <w:rsid w:val="002F1E70"/>
    <w:rsid w:val="002F29DB"/>
    <w:rsid w:val="002F3D8A"/>
    <w:rsid w:val="002F541A"/>
    <w:rsid w:val="002F5FF9"/>
    <w:rsid w:val="00300223"/>
    <w:rsid w:val="003006B8"/>
    <w:rsid w:val="0030099F"/>
    <w:rsid w:val="00300A47"/>
    <w:rsid w:val="003010EE"/>
    <w:rsid w:val="003023AB"/>
    <w:rsid w:val="00302431"/>
    <w:rsid w:val="003054E6"/>
    <w:rsid w:val="003058B9"/>
    <w:rsid w:val="003079B2"/>
    <w:rsid w:val="00310188"/>
    <w:rsid w:val="003101E9"/>
    <w:rsid w:val="0031425B"/>
    <w:rsid w:val="0031600B"/>
    <w:rsid w:val="00316E3A"/>
    <w:rsid w:val="00320514"/>
    <w:rsid w:val="0032188A"/>
    <w:rsid w:val="003219FD"/>
    <w:rsid w:val="00324F1B"/>
    <w:rsid w:val="00326644"/>
    <w:rsid w:val="0032715F"/>
    <w:rsid w:val="0033434D"/>
    <w:rsid w:val="00335674"/>
    <w:rsid w:val="003363EA"/>
    <w:rsid w:val="00337860"/>
    <w:rsid w:val="00337B62"/>
    <w:rsid w:val="00340547"/>
    <w:rsid w:val="00340B28"/>
    <w:rsid w:val="0034234A"/>
    <w:rsid w:val="00342975"/>
    <w:rsid w:val="00343E41"/>
    <w:rsid w:val="00347130"/>
    <w:rsid w:val="00347586"/>
    <w:rsid w:val="00350095"/>
    <w:rsid w:val="00350E63"/>
    <w:rsid w:val="00351955"/>
    <w:rsid w:val="00355721"/>
    <w:rsid w:val="00355BBF"/>
    <w:rsid w:val="003604C7"/>
    <w:rsid w:val="00360D80"/>
    <w:rsid w:val="00360F80"/>
    <w:rsid w:val="00361F51"/>
    <w:rsid w:val="003623E5"/>
    <w:rsid w:val="00364153"/>
    <w:rsid w:val="00365955"/>
    <w:rsid w:val="0037041A"/>
    <w:rsid w:val="00370D73"/>
    <w:rsid w:val="003711AF"/>
    <w:rsid w:val="00371B7D"/>
    <w:rsid w:val="00373A92"/>
    <w:rsid w:val="003744CB"/>
    <w:rsid w:val="0037559E"/>
    <w:rsid w:val="0037703F"/>
    <w:rsid w:val="003774DA"/>
    <w:rsid w:val="00381374"/>
    <w:rsid w:val="00381C26"/>
    <w:rsid w:val="00383879"/>
    <w:rsid w:val="00385350"/>
    <w:rsid w:val="00386D28"/>
    <w:rsid w:val="0039079A"/>
    <w:rsid w:val="003943EE"/>
    <w:rsid w:val="0039459A"/>
    <w:rsid w:val="0039488C"/>
    <w:rsid w:val="003949AA"/>
    <w:rsid w:val="00395834"/>
    <w:rsid w:val="003A45FA"/>
    <w:rsid w:val="003A5D10"/>
    <w:rsid w:val="003B01FA"/>
    <w:rsid w:val="003B0DA0"/>
    <w:rsid w:val="003B2072"/>
    <w:rsid w:val="003B266E"/>
    <w:rsid w:val="003B4F98"/>
    <w:rsid w:val="003B6422"/>
    <w:rsid w:val="003B6847"/>
    <w:rsid w:val="003B77AE"/>
    <w:rsid w:val="003C1E3A"/>
    <w:rsid w:val="003C24FC"/>
    <w:rsid w:val="003C2AFC"/>
    <w:rsid w:val="003C38A5"/>
    <w:rsid w:val="003C39B5"/>
    <w:rsid w:val="003C3B00"/>
    <w:rsid w:val="003C453E"/>
    <w:rsid w:val="003C52E5"/>
    <w:rsid w:val="003C793C"/>
    <w:rsid w:val="003C7FA2"/>
    <w:rsid w:val="003D3597"/>
    <w:rsid w:val="003D59B8"/>
    <w:rsid w:val="003D5E64"/>
    <w:rsid w:val="003D66E4"/>
    <w:rsid w:val="003D7E22"/>
    <w:rsid w:val="003E0D6B"/>
    <w:rsid w:val="003E1AE8"/>
    <w:rsid w:val="003E26F4"/>
    <w:rsid w:val="003E2D5C"/>
    <w:rsid w:val="003E3584"/>
    <w:rsid w:val="003E3C86"/>
    <w:rsid w:val="003E65D7"/>
    <w:rsid w:val="003E7506"/>
    <w:rsid w:val="003E7CF8"/>
    <w:rsid w:val="003F036D"/>
    <w:rsid w:val="003F1250"/>
    <w:rsid w:val="003F1EA5"/>
    <w:rsid w:val="003F54F0"/>
    <w:rsid w:val="003F5864"/>
    <w:rsid w:val="003F70C7"/>
    <w:rsid w:val="003F713F"/>
    <w:rsid w:val="00400C4B"/>
    <w:rsid w:val="00401840"/>
    <w:rsid w:val="004044AA"/>
    <w:rsid w:val="004046B4"/>
    <w:rsid w:val="00404BAD"/>
    <w:rsid w:val="0040704F"/>
    <w:rsid w:val="00410503"/>
    <w:rsid w:val="004106F6"/>
    <w:rsid w:val="00411E7E"/>
    <w:rsid w:val="00412336"/>
    <w:rsid w:val="00413685"/>
    <w:rsid w:val="00414F80"/>
    <w:rsid w:val="0041503C"/>
    <w:rsid w:val="004231F6"/>
    <w:rsid w:val="0042324D"/>
    <w:rsid w:val="00427D89"/>
    <w:rsid w:val="004309DB"/>
    <w:rsid w:val="004312B3"/>
    <w:rsid w:val="0043360E"/>
    <w:rsid w:val="00434D78"/>
    <w:rsid w:val="00442BC6"/>
    <w:rsid w:val="004430AC"/>
    <w:rsid w:val="00443DEA"/>
    <w:rsid w:val="00444BC8"/>
    <w:rsid w:val="00446873"/>
    <w:rsid w:val="004478B2"/>
    <w:rsid w:val="00447FC7"/>
    <w:rsid w:val="00451847"/>
    <w:rsid w:val="004519A5"/>
    <w:rsid w:val="00453932"/>
    <w:rsid w:val="00453991"/>
    <w:rsid w:val="00453BC5"/>
    <w:rsid w:val="004546E5"/>
    <w:rsid w:val="00454A29"/>
    <w:rsid w:val="004553EF"/>
    <w:rsid w:val="004567C5"/>
    <w:rsid w:val="004575B6"/>
    <w:rsid w:val="00460EA6"/>
    <w:rsid w:val="004612E8"/>
    <w:rsid w:val="004626A3"/>
    <w:rsid w:val="0046619A"/>
    <w:rsid w:val="0046790B"/>
    <w:rsid w:val="00471079"/>
    <w:rsid w:val="00473DF3"/>
    <w:rsid w:val="00473F1F"/>
    <w:rsid w:val="00476DA3"/>
    <w:rsid w:val="00481A50"/>
    <w:rsid w:val="00482AF4"/>
    <w:rsid w:val="00482B60"/>
    <w:rsid w:val="00484CC5"/>
    <w:rsid w:val="00484D59"/>
    <w:rsid w:val="0048538A"/>
    <w:rsid w:val="004855A8"/>
    <w:rsid w:val="00486457"/>
    <w:rsid w:val="004879C8"/>
    <w:rsid w:val="00493512"/>
    <w:rsid w:val="00493732"/>
    <w:rsid w:val="00497ED2"/>
    <w:rsid w:val="004A2305"/>
    <w:rsid w:val="004A380A"/>
    <w:rsid w:val="004A4E5C"/>
    <w:rsid w:val="004A539E"/>
    <w:rsid w:val="004A5D6B"/>
    <w:rsid w:val="004A637E"/>
    <w:rsid w:val="004A6BCA"/>
    <w:rsid w:val="004A75C3"/>
    <w:rsid w:val="004B0B4A"/>
    <w:rsid w:val="004B112A"/>
    <w:rsid w:val="004B60E8"/>
    <w:rsid w:val="004C06CE"/>
    <w:rsid w:val="004C0BF4"/>
    <w:rsid w:val="004C24C6"/>
    <w:rsid w:val="004C24F2"/>
    <w:rsid w:val="004C3197"/>
    <w:rsid w:val="004C50F2"/>
    <w:rsid w:val="004C577A"/>
    <w:rsid w:val="004C5A88"/>
    <w:rsid w:val="004C5ECF"/>
    <w:rsid w:val="004C6740"/>
    <w:rsid w:val="004C7669"/>
    <w:rsid w:val="004C78D4"/>
    <w:rsid w:val="004D130F"/>
    <w:rsid w:val="004D16A7"/>
    <w:rsid w:val="004D1812"/>
    <w:rsid w:val="004D1F21"/>
    <w:rsid w:val="004D2145"/>
    <w:rsid w:val="004D2731"/>
    <w:rsid w:val="004D297F"/>
    <w:rsid w:val="004D4354"/>
    <w:rsid w:val="004D59F5"/>
    <w:rsid w:val="004D6E73"/>
    <w:rsid w:val="004D7DBA"/>
    <w:rsid w:val="004E4300"/>
    <w:rsid w:val="004E5E19"/>
    <w:rsid w:val="004F08DF"/>
    <w:rsid w:val="004F1198"/>
    <w:rsid w:val="004F1889"/>
    <w:rsid w:val="004F34DF"/>
    <w:rsid w:val="004F3F35"/>
    <w:rsid w:val="004F44D1"/>
    <w:rsid w:val="004F4BFB"/>
    <w:rsid w:val="004F4D63"/>
    <w:rsid w:val="004F7C05"/>
    <w:rsid w:val="005000D9"/>
    <w:rsid w:val="00503673"/>
    <w:rsid w:val="00504BC1"/>
    <w:rsid w:val="00505136"/>
    <w:rsid w:val="00506BB4"/>
    <w:rsid w:val="005107D1"/>
    <w:rsid w:val="00511478"/>
    <w:rsid w:val="00511C2E"/>
    <w:rsid w:val="00514BB2"/>
    <w:rsid w:val="00514CF9"/>
    <w:rsid w:val="0051791D"/>
    <w:rsid w:val="00521385"/>
    <w:rsid w:val="005217DA"/>
    <w:rsid w:val="00522A68"/>
    <w:rsid w:val="00522E94"/>
    <w:rsid w:val="00524C82"/>
    <w:rsid w:val="0052590F"/>
    <w:rsid w:val="00525F5E"/>
    <w:rsid w:val="00526455"/>
    <w:rsid w:val="005265C1"/>
    <w:rsid w:val="00526CB2"/>
    <w:rsid w:val="00527060"/>
    <w:rsid w:val="005316E9"/>
    <w:rsid w:val="00533EA6"/>
    <w:rsid w:val="0053412E"/>
    <w:rsid w:val="00541C8F"/>
    <w:rsid w:val="00542D26"/>
    <w:rsid w:val="00543202"/>
    <w:rsid w:val="00543DA1"/>
    <w:rsid w:val="005451DE"/>
    <w:rsid w:val="005456B2"/>
    <w:rsid w:val="0054602D"/>
    <w:rsid w:val="00546442"/>
    <w:rsid w:val="00550553"/>
    <w:rsid w:val="00550EB9"/>
    <w:rsid w:val="00550EE9"/>
    <w:rsid w:val="00551A71"/>
    <w:rsid w:val="00552614"/>
    <w:rsid w:val="00553A71"/>
    <w:rsid w:val="005545BB"/>
    <w:rsid w:val="00554B45"/>
    <w:rsid w:val="00556D79"/>
    <w:rsid w:val="00557992"/>
    <w:rsid w:val="00560377"/>
    <w:rsid w:val="00561061"/>
    <w:rsid w:val="00561252"/>
    <w:rsid w:val="00562077"/>
    <w:rsid w:val="005649D6"/>
    <w:rsid w:val="00564EB8"/>
    <w:rsid w:val="00564FBE"/>
    <w:rsid w:val="005671EE"/>
    <w:rsid w:val="00567AB2"/>
    <w:rsid w:val="00570A0E"/>
    <w:rsid w:val="0057472B"/>
    <w:rsid w:val="005758A1"/>
    <w:rsid w:val="00575A71"/>
    <w:rsid w:val="005763AA"/>
    <w:rsid w:val="00576D14"/>
    <w:rsid w:val="00577A8B"/>
    <w:rsid w:val="00582186"/>
    <w:rsid w:val="00582644"/>
    <w:rsid w:val="00582DD7"/>
    <w:rsid w:val="005863F6"/>
    <w:rsid w:val="00586837"/>
    <w:rsid w:val="00587E63"/>
    <w:rsid w:val="00591EDE"/>
    <w:rsid w:val="00592DCC"/>
    <w:rsid w:val="00594B50"/>
    <w:rsid w:val="0059673D"/>
    <w:rsid w:val="005973A0"/>
    <w:rsid w:val="005A153D"/>
    <w:rsid w:val="005A1B02"/>
    <w:rsid w:val="005A2D5B"/>
    <w:rsid w:val="005A3BA0"/>
    <w:rsid w:val="005A58B5"/>
    <w:rsid w:val="005A6759"/>
    <w:rsid w:val="005B1843"/>
    <w:rsid w:val="005B26B3"/>
    <w:rsid w:val="005B7C34"/>
    <w:rsid w:val="005C05E4"/>
    <w:rsid w:val="005C1DD2"/>
    <w:rsid w:val="005C3036"/>
    <w:rsid w:val="005C3EC2"/>
    <w:rsid w:val="005C4818"/>
    <w:rsid w:val="005C5FA9"/>
    <w:rsid w:val="005C6A97"/>
    <w:rsid w:val="005C6EB6"/>
    <w:rsid w:val="005C7C94"/>
    <w:rsid w:val="005D4141"/>
    <w:rsid w:val="005D4D2F"/>
    <w:rsid w:val="005D5ED2"/>
    <w:rsid w:val="005D7A1E"/>
    <w:rsid w:val="005E034A"/>
    <w:rsid w:val="005E0912"/>
    <w:rsid w:val="005E09E9"/>
    <w:rsid w:val="005E1245"/>
    <w:rsid w:val="005E2C34"/>
    <w:rsid w:val="005E3360"/>
    <w:rsid w:val="005E4A2E"/>
    <w:rsid w:val="005E4BB9"/>
    <w:rsid w:val="005E5426"/>
    <w:rsid w:val="005E79CD"/>
    <w:rsid w:val="005F104D"/>
    <w:rsid w:val="005F2253"/>
    <w:rsid w:val="005F3723"/>
    <w:rsid w:val="005F7619"/>
    <w:rsid w:val="006029F2"/>
    <w:rsid w:val="00603879"/>
    <w:rsid w:val="00603914"/>
    <w:rsid w:val="006050C1"/>
    <w:rsid w:val="0060737F"/>
    <w:rsid w:val="00607A21"/>
    <w:rsid w:val="006103FC"/>
    <w:rsid w:val="00614531"/>
    <w:rsid w:val="00614F54"/>
    <w:rsid w:val="00615293"/>
    <w:rsid w:val="00615FF8"/>
    <w:rsid w:val="00621FB1"/>
    <w:rsid w:val="006223F3"/>
    <w:rsid w:val="00625C3D"/>
    <w:rsid w:val="00625EF8"/>
    <w:rsid w:val="006271F2"/>
    <w:rsid w:val="00627E0D"/>
    <w:rsid w:val="006315CC"/>
    <w:rsid w:val="00632536"/>
    <w:rsid w:val="006336F0"/>
    <w:rsid w:val="00633C53"/>
    <w:rsid w:val="006351EF"/>
    <w:rsid w:val="006362D8"/>
    <w:rsid w:val="006401A7"/>
    <w:rsid w:val="0064125F"/>
    <w:rsid w:val="00641857"/>
    <w:rsid w:val="00641A42"/>
    <w:rsid w:val="006429E9"/>
    <w:rsid w:val="0064571F"/>
    <w:rsid w:val="00645897"/>
    <w:rsid w:val="00646AB3"/>
    <w:rsid w:val="00646D7E"/>
    <w:rsid w:val="00647C3E"/>
    <w:rsid w:val="0065030A"/>
    <w:rsid w:val="00651BC7"/>
    <w:rsid w:val="00652B76"/>
    <w:rsid w:val="006538FB"/>
    <w:rsid w:val="0065395D"/>
    <w:rsid w:val="00653D9F"/>
    <w:rsid w:val="00654891"/>
    <w:rsid w:val="00656DF1"/>
    <w:rsid w:val="0066324E"/>
    <w:rsid w:val="00663FDD"/>
    <w:rsid w:val="00664357"/>
    <w:rsid w:val="00664C1C"/>
    <w:rsid w:val="00665FF7"/>
    <w:rsid w:val="006679D3"/>
    <w:rsid w:val="006713B5"/>
    <w:rsid w:val="00671F03"/>
    <w:rsid w:val="006743E1"/>
    <w:rsid w:val="006770D1"/>
    <w:rsid w:val="00680153"/>
    <w:rsid w:val="00680BAD"/>
    <w:rsid w:val="006819D3"/>
    <w:rsid w:val="00681F46"/>
    <w:rsid w:val="00682D8A"/>
    <w:rsid w:val="00683AF6"/>
    <w:rsid w:val="006846BE"/>
    <w:rsid w:val="00685564"/>
    <w:rsid w:val="006862E3"/>
    <w:rsid w:val="00687692"/>
    <w:rsid w:val="00687A98"/>
    <w:rsid w:val="00691884"/>
    <w:rsid w:val="00691F7C"/>
    <w:rsid w:val="00692A2B"/>
    <w:rsid w:val="006942DE"/>
    <w:rsid w:val="00694C65"/>
    <w:rsid w:val="00696693"/>
    <w:rsid w:val="00696C0B"/>
    <w:rsid w:val="006A1EF6"/>
    <w:rsid w:val="006A601F"/>
    <w:rsid w:val="006A75DB"/>
    <w:rsid w:val="006B1DFF"/>
    <w:rsid w:val="006B3072"/>
    <w:rsid w:val="006B360C"/>
    <w:rsid w:val="006B45DB"/>
    <w:rsid w:val="006B51F6"/>
    <w:rsid w:val="006B56D2"/>
    <w:rsid w:val="006B7195"/>
    <w:rsid w:val="006B7587"/>
    <w:rsid w:val="006B7A58"/>
    <w:rsid w:val="006C24C1"/>
    <w:rsid w:val="006C2901"/>
    <w:rsid w:val="006C37B9"/>
    <w:rsid w:val="006C4F08"/>
    <w:rsid w:val="006C6D39"/>
    <w:rsid w:val="006C73DB"/>
    <w:rsid w:val="006D0B9E"/>
    <w:rsid w:val="006D2063"/>
    <w:rsid w:val="006D26DB"/>
    <w:rsid w:val="006D3079"/>
    <w:rsid w:val="006D3438"/>
    <w:rsid w:val="006D519F"/>
    <w:rsid w:val="006D5619"/>
    <w:rsid w:val="006D59F4"/>
    <w:rsid w:val="006D5FC1"/>
    <w:rsid w:val="006D6041"/>
    <w:rsid w:val="006D62DD"/>
    <w:rsid w:val="006D6C6E"/>
    <w:rsid w:val="006D707E"/>
    <w:rsid w:val="006D779B"/>
    <w:rsid w:val="006E1318"/>
    <w:rsid w:val="006E184E"/>
    <w:rsid w:val="006E7FB1"/>
    <w:rsid w:val="006F0631"/>
    <w:rsid w:val="006F14A8"/>
    <w:rsid w:val="006F259C"/>
    <w:rsid w:val="006F586E"/>
    <w:rsid w:val="00700739"/>
    <w:rsid w:val="0070123A"/>
    <w:rsid w:val="00705D3C"/>
    <w:rsid w:val="00710259"/>
    <w:rsid w:val="00713FC9"/>
    <w:rsid w:val="007144A8"/>
    <w:rsid w:val="00714D05"/>
    <w:rsid w:val="00716089"/>
    <w:rsid w:val="0072414A"/>
    <w:rsid w:val="00724FF2"/>
    <w:rsid w:val="00725283"/>
    <w:rsid w:val="0072693D"/>
    <w:rsid w:val="00726AD7"/>
    <w:rsid w:val="0072700A"/>
    <w:rsid w:val="00727778"/>
    <w:rsid w:val="0073064E"/>
    <w:rsid w:val="007320D1"/>
    <w:rsid w:val="0073253C"/>
    <w:rsid w:val="0073347C"/>
    <w:rsid w:val="007336E4"/>
    <w:rsid w:val="00733C9B"/>
    <w:rsid w:val="00735C9E"/>
    <w:rsid w:val="007368B1"/>
    <w:rsid w:val="00737F96"/>
    <w:rsid w:val="00740FC5"/>
    <w:rsid w:val="00741AA5"/>
    <w:rsid w:val="00741B9E"/>
    <w:rsid w:val="00742192"/>
    <w:rsid w:val="0074506D"/>
    <w:rsid w:val="00751032"/>
    <w:rsid w:val="00753BF0"/>
    <w:rsid w:val="00755836"/>
    <w:rsid w:val="00756C9B"/>
    <w:rsid w:val="007571B4"/>
    <w:rsid w:val="00761E6A"/>
    <w:rsid w:val="0076254C"/>
    <w:rsid w:val="007628B8"/>
    <w:rsid w:val="007629C4"/>
    <w:rsid w:val="00762A7D"/>
    <w:rsid w:val="00762BDB"/>
    <w:rsid w:val="0076365B"/>
    <w:rsid w:val="00763C50"/>
    <w:rsid w:val="007641C0"/>
    <w:rsid w:val="00767B51"/>
    <w:rsid w:val="00780F26"/>
    <w:rsid w:val="00781D17"/>
    <w:rsid w:val="00784B38"/>
    <w:rsid w:val="00786531"/>
    <w:rsid w:val="00790F6C"/>
    <w:rsid w:val="007913E8"/>
    <w:rsid w:val="00791E3B"/>
    <w:rsid w:val="00792314"/>
    <w:rsid w:val="007924C9"/>
    <w:rsid w:val="007932F8"/>
    <w:rsid w:val="00793EE9"/>
    <w:rsid w:val="00795741"/>
    <w:rsid w:val="007962ED"/>
    <w:rsid w:val="00797E99"/>
    <w:rsid w:val="007A19A8"/>
    <w:rsid w:val="007A2F61"/>
    <w:rsid w:val="007A47A2"/>
    <w:rsid w:val="007A52DC"/>
    <w:rsid w:val="007A63A6"/>
    <w:rsid w:val="007A688C"/>
    <w:rsid w:val="007B03FA"/>
    <w:rsid w:val="007B2354"/>
    <w:rsid w:val="007B3E18"/>
    <w:rsid w:val="007B3EC4"/>
    <w:rsid w:val="007B569D"/>
    <w:rsid w:val="007C1E9F"/>
    <w:rsid w:val="007C2F04"/>
    <w:rsid w:val="007C392F"/>
    <w:rsid w:val="007C6799"/>
    <w:rsid w:val="007D2B72"/>
    <w:rsid w:val="007D5DF7"/>
    <w:rsid w:val="007D61C2"/>
    <w:rsid w:val="007D7C38"/>
    <w:rsid w:val="007D7C6D"/>
    <w:rsid w:val="007E12AA"/>
    <w:rsid w:val="007E1E19"/>
    <w:rsid w:val="007E6044"/>
    <w:rsid w:val="007F0D90"/>
    <w:rsid w:val="007F2879"/>
    <w:rsid w:val="007F351C"/>
    <w:rsid w:val="007F389C"/>
    <w:rsid w:val="007F46FE"/>
    <w:rsid w:val="0080006B"/>
    <w:rsid w:val="00801753"/>
    <w:rsid w:val="0080340B"/>
    <w:rsid w:val="00805497"/>
    <w:rsid w:val="00806686"/>
    <w:rsid w:val="008066DE"/>
    <w:rsid w:val="00806834"/>
    <w:rsid w:val="00806BD4"/>
    <w:rsid w:val="00807847"/>
    <w:rsid w:val="00815F7B"/>
    <w:rsid w:val="008164FD"/>
    <w:rsid w:val="00816AD1"/>
    <w:rsid w:val="008176DF"/>
    <w:rsid w:val="0082008F"/>
    <w:rsid w:val="0082308A"/>
    <w:rsid w:val="00823E53"/>
    <w:rsid w:val="00824DDC"/>
    <w:rsid w:val="0082527E"/>
    <w:rsid w:val="008253FE"/>
    <w:rsid w:val="00825D7D"/>
    <w:rsid w:val="00832367"/>
    <w:rsid w:val="0083240F"/>
    <w:rsid w:val="0083268D"/>
    <w:rsid w:val="008339FB"/>
    <w:rsid w:val="00833B17"/>
    <w:rsid w:val="00834A95"/>
    <w:rsid w:val="00836E1C"/>
    <w:rsid w:val="008408AC"/>
    <w:rsid w:val="00844AA4"/>
    <w:rsid w:val="00846AF8"/>
    <w:rsid w:val="00847593"/>
    <w:rsid w:val="00851A11"/>
    <w:rsid w:val="008534BF"/>
    <w:rsid w:val="00854C74"/>
    <w:rsid w:val="00855590"/>
    <w:rsid w:val="00857146"/>
    <w:rsid w:val="00862386"/>
    <w:rsid w:val="008638A5"/>
    <w:rsid w:val="008662EC"/>
    <w:rsid w:val="00870ECF"/>
    <w:rsid w:val="00873B09"/>
    <w:rsid w:val="00875CA0"/>
    <w:rsid w:val="00877948"/>
    <w:rsid w:val="008814DF"/>
    <w:rsid w:val="0088202D"/>
    <w:rsid w:val="008841AD"/>
    <w:rsid w:val="00885FE5"/>
    <w:rsid w:val="008866EB"/>
    <w:rsid w:val="0088743F"/>
    <w:rsid w:val="00892E11"/>
    <w:rsid w:val="00892F2F"/>
    <w:rsid w:val="00895DA0"/>
    <w:rsid w:val="0089681C"/>
    <w:rsid w:val="008A1C43"/>
    <w:rsid w:val="008A2142"/>
    <w:rsid w:val="008A2540"/>
    <w:rsid w:val="008A32B6"/>
    <w:rsid w:val="008A3EEE"/>
    <w:rsid w:val="008A4E9C"/>
    <w:rsid w:val="008A61F9"/>
    <w:rsid w:val="008A66AA"/>
    <w:rsid w:val="008B116C"/>
    <w:rsid w:val="008B1BE0"/>
    <w:rsid w:val="008B223A"/>
    <w:rsid w:val="008B2568"/>
    <w:rsid w:val="008B4D38"/>
    <w:rsid w:val="008B72A4"/>
    <w:rsid w:val="008C0BC8"/>
    <w:rsid w:val="008C6F16"/>
    <w:rsid w:val="008C6F19"/>
    <w:rsid w:val="008D44BA"/>
    <w:rsid w:val="008D658C"/>
    <w:rsid w:val="008D720E"/>
    <w:rsid w:val="008E32D3"/>
    <w:rsid w:val="008E4341"/>
    <w:rsid w:val="008E45A6"/>
    <w:rsid w:val="008E4686"/>
    <w:rsid w:val="008E7965"/>
    <w:rsid w:val="008E7C51"/>
    <w:rsid w:val="008F1A2A"/>
    <w:rsid w:val="008F25CC"/>
    <w:rsid w:val="008F2FC6"/>
    <w:rsid w:val="008F3371"/>
    <w:rsid w:val="008F6816"/>
    <w:rsid w:val="008F773F"/>
    <w:rsid w:val="00901094"/>
    <w:rsid w:val="00904116"/>
    <w:rsid w:val="0090567D"/>
    <w:rsid w:val="00910B70"/>
    <w:rsid w:val="00912458"/>
    <w:rsid w:val="00912FF2"/>
    <w:rsid w:val="00913645"/>
    <w:rsid w:val="00914090"/>
    <w:rsid w:val="0091699A"/>
    <w:rsid w:val="00920BF8"/>
    <w:rsid w:val="00921287"/>
    <w:rsid w:val="00921429"/>
    <w:rsid w:val="009235D6"/>
    <w:rsid w:val="00925281"/>
    <w:rsid w:val="009259E3"/>
    <w:rsid w:val="00925AA6"/>
    <w:rsid w:val="009269DD"/>
    <w:rsid w:val="00927288"/>
    <w:rsid w:val="0092755D"/>
    <w:rsid w:val="009306A4"/>
    <w:rsid w:val="00931E1A"/>
    <w:rsid w:val="0093267C"/>
    <w:rsid w:val="00932752"/>
    <w:rsid w:val="00933052"/>
    <w:rsid w:val="00933BCF"/>
    <w:rsid w:val="009343C4"/>
    <w:rsid w:val="00940BE7"/>
    <w:rsid w:val="00941199"/>
    <w:rsid w:val="00945813"/>
    <w:rsid w:val="00946BE7"/>
    <w:rsid w:val="00947220"/>
    <w:rsid w:val="00950A64"/>
    <w:rsid w:val="00951A01"/>
    <w:rsid w:val="00956255"/>
    <w:rsid w:val="00956937"/>
    <w:rsid w:val="00956DD5"/>
    <w:rsid w:val="00957AC2"/>
    <w:rsid w:val="00957C33"/>
    <w:rsid w:val="00957DD9"/>
    <w:rsid w:val="009611C1"/>
    <w:rsid w:val="00961550"/>
    <w:rsid w:val="00962196"/>
    <w:rsid w:val="009624D7"/>
    <w:rsid w:val="009631A2"/>
    <w:rsid w:val="00964F0B"/>
    <w:rsid w:val="00966E8B"/>
    <w:rsid w:val="00971E35"/>
    <w:rsid w:val="00972914"/>
    <w:rsid w:val="00973D8F"/>
    <w:rsid w:val="0097671A"/>
    <w:rsid w:val="009800D1"/>
    <w:rsid w:val="00981973"/>
    <w:rsid w:val="00982122"/>
    <w:rsid w:val="009824AD"/>
    <w:rsid w:val="009824EF"/>
    <w:rsid w:val="00983F25"/>
    <w:rsid w:val="00984635"/>
    <w:rsid w:val="00984BD0"/>
    <w:rsid w:val="0098649E"/>
    <w:rsid w:val="00987DED"/>
    <w:rsid w:val="00990022"/>
    <w:rsid w:val="00990AFF"/>
    <w:rsid w:val="00991083"/>
    <w:rsid w:val="009975E4"/>
    <w:rsid w:val="00997D44"/>
    <w:rsid w:val="009A178D"/>
    <w:rsid w:val="009A212E"/>
    <w:rsid w:val="009A5001"/>
    <w:rsid w:val="009A632C"/>
    <w:rsid w:val="009A6E83"/>
    <w:rsid w:val="009A7A96"/>
    <w:rsid w:val="009A7F39"/>
    <w:rsid w:val="009B424E"/>
    <w:rsid w:val="009B52D6"/>
    <w:rsid w:val="009B5E50"/>
    <w:rsid w:val="009B66CB"/>
    <w:rsid w:val="009B7E4A"/>
    <w:rsid w:val="009C0E11"/>
    <w:rsid w:val="009C19BA"/>
    <w:rsid w:val="009C2399"/>
    <w:rsid w:val="009C44D1"/>
    <w:rsid w:val="009C498B"/>
    <w:rsid w:val="009C4C02"/>
    <w:rsid w:val="009C7022"/>
    <w:rsid w:val="009D06AF"/>
    <w:rsid w:val="009D5D92"/>
    <w:rsid w:val="009D5E06"/>
    <w:rsid w:val="009D643E"/>
    <w:rsid w:val="009D71E8"/>
    <w:rsid w:val="009E0498"/>
    <w:rsid w:val="009E08A3"/>
    <w:rsid w:val="009E0C23"/>
    <w:rsid w:val="009E1956"/>
    <w:rsid w:val="009E2C6A"/>
    <w:rsid w:val="009E3557"/>
    <w:rsid w:val="009E62B8"/>
    <w:rsid w:val="009F0061"/>
    <w:rsid w:val="009F04A5"/>
    <w:rsid w:val="009F2E59"/>
    <w:rsid w:val="009F55FB"/>
    <w:rsid w:val="009F6534"/>
    <w:rsid w:val="009F690E"/>
    <w:rsid w:val="009F707A"/>
    <w:rsid w:val="009F7F5C"/>
    <w:rsid w:val="00A01979"/>
    <w:rsid w:val="00A02FF1"/>
    <w:rsid w:val="00A0348F"/>
    <w:rsid w:val="00A064F7"/>
    <w:rsid w:val="00A068D3"/>
    <w:rsid w:val="00A07F89"/>
    <w:rsid w:val="00A103F7"/>
    <w:rsid w:val="00A10E1E"/>
    <w:rsid w:val="00A1612E"/>
    <w:rsid w:val="00A16747"/>
    <w:rsid w:val="00A235A7"/>
    <w:rsid w:val="00A24C91"/>
    <w:rsid w:val="00A2550B"/>
    <w:rsid w:val="00A2566B"/>
    <w:rsid w:val="00A26FB9"/>
    <w:rsid w:val="00A301CB"/>
    <w:rsid w:val="00A31EEE"/>
    <w:rsid w:val="00A32AFD"/>
    <w:rsid w:val="00A35488"/>
    <w:rsid w:val="00A35E90"/>
    <w:rsid w:val="00A4095E"/>
    <w:rsid w:val="00A411D0"/>
    <w:rsid w:val="00A41941"/>
    <w:rsid w:val="00A4383E"/>
    <w:rsid w:val="00A44184"/>
    <w:rsid w:val="00A45DE1"/>
    <w:rsid w:val="00A4654A"/>
    <w:rsid w:val="00A50420"/>
    <w:rsid w:val="00A50F03"/>
    <w:rsid w:val="00A520FE"/>
    <w:rsid w:val="00A56B38"/>
    <w:rsid w:val="00A616A6"/>
    <w:rsid w:val="00A62EBD"/>
    <w:rsid w:val="00A665BC"/>
    <w:rsid w:val="00A70229"/>
    <w:rsid w:val="00A70492"/>
    <w:rsid w:val="00A70646"/>
    <w:rsid w:val="00A70A4F"/>
    <w:rsid w:val="00A72C09"/>
    <w:rsid w:val="00A72EE2"/>
    <w:rsid w:val="00A74B35"/>
    <w:rsid w:val="00A77799"/>
    <w:rsid w:val="00A77BF4"/>
    <w:rsid w:val="00A81F91"/>
    <w:rsid w:val="00A82767"/>
    <w:rsid w:val="00A84744"/>
    <w:rsid w:val="00A84C0E"/>
    <w:rsid w:val="00A90094"/>
    <w:rsid w:val="00A9032C"/>
    <w:rsid w:val="00A910D2"/>
    <w:rsid w:val="00A92EEA"/>
    <w:rsid w:val="00A94FAE"/>
    <w:rsid w:val="00A9577D"/>
    <w:rsid w:val="00A96EC8"/>
    <w:rsid w:val="00A972F1"/>
    <w:rsid w:val="00AA3430"/>
    <w:rsid w:val="00AA387B"/>
    <w:rsid w:val="00AA6ADB"/>
    <w:rsid w:val="00AA6C55"/>
    <w:rsid w:val="00AA7068"/>
    <w:rsid w:val="00AA7483"/>
    <w:rsid w:val="00AA776A"/>
    <w:rsid w:val="00AB0382"/>
    <w:rsid w:val="00AB0C35"/>
    <w:rsid w:val="00AB1107"/>
    <w:rsid w:val="00AB1467"/>
    <w:rsid w:val="00AB1476"/>
    <w:rsid w:val="00AB1C14"/>
    <w:rsid w:val="00AB49F0"/>
    <w:rsid w:val="00AB5817"/>
    <w:rsid w:val="00AC14C1"/>
    <w:rsid w:val="00AC22CE"/>
    <w:rsid w:val="00AC2ABF"/>
    <w:rsid w:val="00AC358F"/>
    <w:rsid w:val="00AC3796"/>
    <w:rsid w:val="00AC436F"/>
    <w:rsid w:val="00AC6A37"/>
    <w:rsid w:val="00AD346F"/>
    <w:rsid w:val="00AD49FD"/>
    <w:rsid w:val="00AD5885"/>
    <w:rsid w:val="00AD7445"/>
    <w:rsid w:val="00AE01E8"/>
    <w:rsid w:val="00AE19C7"/>
    <w:rsid w:val="00AE20F5"/>
    <w:rsid w:val="00AE4D1E"/>
    <w:rsid w:val="00AE546C"/>
    <w:rsid w:val="00AE6272"/>
    <w:rsid w:val="00AE7252"/>
    <w:rsid w:val="00AF1973"/>
    <w:rsid w:val="00AF2B6D"/>
    <w:rsid w:val="00AF3235"/>
    <w:rsid w:val="00B003AF"/>
    <w:rsid w:val="00B007E6"/>
    <w:rsid w:val="00B01103"/>
    <w:rsid w:val="00B01F83"/>
    <w:rsid w:val="00B0571B"/>
    <w:rsid w:val="00B05B71"/>
    <w:rsid w:val="00B107DF"/>
    <w:rsid w:val="00B11FE8"/>
    <w:rsid w:val="00B1452D"/>
    <w:rsid w:val="00B14867"/>
    <w:rsid w:val="00B14CAB"/>
    <w:rsid w:val="00B14FC3"/>
    <w:rsid w:val="00B17304"/>
    <w:rsid w:val="00B21F83"/>
    <w:rsid w:val="00B247B9"/>
    <w:rsid w:val="00B27A21"/>
    <w:rsid w:val="00B3068D"/>
    <w:rsid w:val="00B306BC"/>
    <w:rsid w:val="00B32FF3"/>
    <w:rsid w:val="00B348A3"/>
    <w:rsid w:val="00B36DC6"/>
    <w:rsid w:val="00B40402"/>
    <w:rsid w:val="00B40D1E"/>
    <w:rsid w:val="00B42032"/>
    <w:rsid w:val="00B4242C"/>
    <w:rsid w:val="00B432A2"/>
    <w:rsid w:val="00B43750"/>
    <w:rsid w:val="00B43F8C"/>
    <w:rsid w:val="00B449E7"/>
    <w:rsid w:val="00B44C20"/>
    <w:rsid w:val="00B44FF1"/>
    <w:rsid w:val="00B45E13"/>
    <w:rsid w:val="00B46448"/>
    <w:rsid w:val="00B465D7"/>
    <w:rsid w:val="00B46941"/>
    <w:rsid w:val="00B46BD2"/>
    <w:rsid w:val="00B46CE2"/>
    <w:rsid w:val="00B50D8F"/>
    <w:rsid w:val="00B51345"/>
    <w:rsid w:val="00B51D9C"/>
    <w:rsid w:val="00B51FD1"/>
    <w:rsid w:val="00B53E05"/>
    <w:rsid w:val="00B54A5C"/>
    <w:rsid w:val="00B54E85"/>
    <w:rsid w:val="00B5508A"/>
    <w:rsid w:val="00B55778"/>
    <w:rsid w:val="00B55938"/>
    <w:rsid w:val="00B577A6"/>
    <w:rsid w:val="00B5792D"/>
    <w:rsid w:val="00B60053"/>
    <w:rsid w:val="00B602BF"/>
    <w:rsid w:val="00B612DA"/>
    <w:rsid w:val="00B646F1"/>
    <w:rsid w:val="00B648FD"/>
    <w:rsid w:val="00B64BAB"/>
    <w:rsid w:val="00B65B20"/>
    <w:rsid w:val="00B65F49"/>
    <w:rsid w:val="00B670C1"/>
    <w:rsid w:val="00B71D33"/>
    <w:rsid w:val="00B72C34"/>
    <w:rsid w:val="00B72C78"/>
    <w:rsid w:val="00B7342B"/>
    <w:rsid w:val="00B746C2"/>
    <w:rsid w:val="00B7486C"/>
    <w:rsid w:val="00B749BD"/>
    <w:rsid w:val="00B75668"/>
    <w:rsid w:val="00B76648"/>
    <w:rsid w:val="00B76D7B"/>
    <w:rsid w:val="00B818DD"/>
    <w:rsid w:val="00B83E34"/>
    <w:rsid w:val="00B85988"/>
    <w:rsid w:val="00B865B8"/>
    <w:rsid w:val="00B872BD"/>
    <w:rsid w:val="00B878BB"/>
    <w:rsid w:val="00B87E35"/>
    <w:rsid w:val="00B90DB6"/>
    <w:rsid w:val="00B91993"/>
    <w:rsid w:val="00B91EA9"/>
    <w:rsid w:val="00B97E31"/>
    <w:rsid w:val="00BA08C8"/>
    <w:rsid w:val="00BA09F5"/>
    <w:rsid w:val="00BA3E66"/>
    <w:rsid w:val="00BA43E7"/>
    <w:rsid w:val="00BA49DF"/>
    <w:rsid w:val="00BA4A80"/>
    <w:rsid w:val="00BA4FAA"/>
    <w:rsid w:val="00BB1B92"/>
    <w:rsid w:val="00BB338A"/>
    <w:rsid w:val="00BB553C"/>
    <w:rsid w:val="00BB6899"/>
    <w:rsid w:val="00BC0D46"/>
    <w:rsid w:val="00BC17B2"/>
    <w:rsid w:val="00BC2B7D"/>
    <w:rsid w:val="00BC35FA"/>
    <w:rsid w:val="00BC6983"/>
    <w:rsid w:val="00BC6CD4"/>
    <w:rsid w:val="00BC7487"/>
    <w:rsid w:val="00BD0BEC"/>
    <w:rsid w:val="00BD555B"/>
    <w:rsid w:val="00BD5F2F"/>
    <w:rsid w:val="00BD7333"/>
    <w:rsid w:val="00BD769E"/>
    <w:rsid w:val="00BD791D"/>
    <w:rsid w:val="00BE1519"/>
    <w:rsid w:val="00BE24A9"/>
    <w:rsid w:val="00BE3214"/>
    <w:rsid w:val="00BE4173"/>
    <w:rsid w:val="00BE66DC"/>
    <w:rsid w:val="00BE6B3E"/>
    <w:rsid w:val="00BE7255"/>
    <w:rsid w:val="00BE77A7"/>
    <w:rsid w:val="00BF086C"/>
    <w:rsid w:val="00BF0D16"/>
    <w:rsid w:val="00BF14E4"/>
    <w:rsid w:val="00BF26BC"/>
    <w:rsid w:val="00BF33CB"/>
    <w:rsid w:val="00BF5806"/>
    <w:rsid w:val="00BF5C73"/>
    <w:rsid w:val="00BF74F5"/>
    <w:rsid w:val="00C00B5F"/>
    <w:rsid w:val="00C014C4"/>
    <w:rsid w:val="00C024B3"/>
    <w:rsid w:val="00C05074"/>
    <w:rsid w:val="00C0515F"/>
    <w:rsid w:val="00C0588A"/>
    <w:rsid w:val="00C0669D"/>
    <w:rsid w:val="00C0670B"/>
    <w:rsid w:val="00C07AC7"/>
    <w:rsid w:val="00C104D6"/>
    <w:rsid w:val="00C10A22"/>
    <w:rsid w:val="00C10D2C"/>
    <w:rsid w:val="00C11E20"/>
    <w:rsid w:val="00C1347F"/>
    <w:rsid w:val="00C136A5"/>
    <w:rsid w:val="00C15D63"/>
    <w:rsid w:val="00C16E5A"/>
    <w:rsid w:val="00C21319"/>
    <w:rsid w:val="00C225E9"/>
    <w:rsid w:val="00C2344D"/>
    <w:rsid w:val="00C24B89"/>
    <w:rsid w:val="00C25477"/>
    <w:rsid w:val="00C3034F"/>
    <w:rsid w:val="00C314F8"/>
    <w:rsid w:val="00C327D1"/>
    <w:rsid w:val="00C33223"/>
    <w:rsid w:val="00C33A1B"/>
    <w:rsid w:val="00C33BF5"/>
    <w:rsid w:val="00C356EB"/>
    <w:rsid w:val="00C35EE5"/>
    <w:rsid w:val="00C37043"/>
    <w:rsid w:val="00C40462"/>
    <w:rsid w:val="00C41016"/>
    <w:rsid w:val="00C41DE6"/>
    <w:rsid w:val="00C43010"/>
    <w:rsid w:val="00C4316F"/>
    <w:rsid w:val="00C43E1D"/>
    <w:rsid w:val="00C43E34"/>
    <w:rsid w:val="00C445F7"/>
    <w:rsid w:val="00C45427"/>
    <w:rsid w:val="00C45652"/>
    <w:rsid w:val="00C507E9"/>
    <w:rsid w:val="00C619CA"/>
    <w:rsid w:val="00C62C8F"/>
    <w:rsid w:val="00C641ED"/>
    <w:rsid w:val="00C65AF1"/>
    <w:rsid w:val="00C65B2C"/>
    <w:rsid w:val="00C67115"/>
    <w:rsid w:val="00C673BE"/>
    <w:rsid w:val="00C716C5"/>
    <w:rsid w:val="00C721C2"/>
    <w:rsid w:val="00C75388"/>
    <w:rsid w:val="00C82BA5"/>
    <w:rsid w:val="00C82F03"/>
    <w:rsid w:val="00C833BA"/>
    <w:rsid w:val="00C8597C"/>
    <w:rsid w:val="00C862CC"/>
    <w:rsid w:val="00C9051F"/>
    <w:rsid w:val="00C916F6"/>
    <w:rsid w:val="00C9293F"/>
    <w:rsid w:val="00C93C7F"/>
    <w:rsid w:val="00C96AA2"/>
    <w:rsid w:val="00C978B0"/>
    <w:rsid w:val="00CA0237"/>
    <w:rsid w:val="00CA2439"/>
    <w:rsid w:val="00CA2520"/>
    <w:rsid w:val="00CA4658"/>
    <w:rsid w:val="00CA4749"/>
    <w:rsid w:val="00CA548D"/>
    <w:rsid w:val="00CA554D"/>
    <w:rsid w:val="00CA66BC"/>
    <w:rsid w:val="00CA78E8"/>
    <w:rsid w:val="00CA799C"/>
    <w:rsid w:val="00CB0A43"/>
    <w:rsid w:val="00CB18CE"/>
    <w:rsid w:val="00CB2D2E"/>
    <w:rsid w:val="00CB36B5"/>
    <w:rsid w:val="00CB55E1"/>
    <w:rsid w:val="00CB5C3A"/>
    <w:rsid w:val="00CB6238"/>
    <w:rsid w:val="00CC0223"/>
    <w:rsid w:val="00CC11A1"/>
    <w:rsid w:val="00CC3152"/>
    <w:rsid w:val="00CC38D1"/>
    <w:rsid w:val="00CC5EC8"/>
    <w:rsid w:val="00CC6AED"/>
    <w:rsid w:val="00CC6EE1"/>
    <w:rsid w:val="00CC71BA"/>
    <w:rsid w:val="00CD1A4A"/>
    <w:rsid w:val="00CD242B"/>
    <w:rsid w:val="00CD704D"/>
    <w:rsid w:val="00CD7634"/>
    <w:rsid w:val="00CD7F13"/>
    <w:rsid w:val="00CE3D2F"/>
    <w:rsid w:val="00CE4CDC"/>
    <w:rsid w:val="00CE56FD"/>
    <w:rsid w:val="00CF0D17"/>
    <w:rsid w:val="00CF2960"/>
    <w:rsid w:val="00CF3B8F"/>
    <w:rsid w:val="00CF5183"/>
    <w:rsid w:val="00CF5FA7"/>
    <w:rsid w:val="00CF6441"/>
    <w:rsid w:val="00CF69E0"/>
    <w:rsid w:val="00CF793F"/>
    <w:rsid w:val="00D01B11"/>
    <w:rsid w:val="00D036E2"/>
    <w:rsid w:val="00D03F17"/>
    <w:rsid w:val="00D0401E"/>
    <w:rsid w:val="00D07BAA"/>
    <w:rsid w:val="00D10869"/>
    <w:rsid w:val="00D11651"/>
    <w:rsid w:val="00D123DF"/>
    <w:rsid w:val="00D12C2B"/>
    <w:rsid w:val="00D1449E"/>
    <w:rsid w:val="00D14A24"/>
    <w:rsid w:val="00D15744"/>
    <w:rsid w:val="00D16C4B"/>
    <w:rsid w:val="00D16F3C"/>
    <w:rsid w:val="00D170F0"/>
    <w:rsid w:val="00D21544"/>
    <w:rsid w:val="00D26808"/>
    <w:rsid w:val="00D2680B"/>
    <w:rsid w:val="00D31331"/>
    <w:rsid w:val="00D31C9F"/>
    <w:rsid w:val="00D32C44"/>
    <w:rsid w:val="00D33FE5"/>
    <w:rsid w:val="00D34AEE"/>
    <w:rsid w:val="00D3512A"/>
    <w:rsid w:val="00D36FC3"/>
    <w:rsid w:val="00D40279"/>
    <w:rsid w:val="00D408E0"/>
    <w:rsid w:val="00D414EB"/>
    <w:rsid w:val="00D42582"/>
    <w:rsid w:val="00D477CE"/>
    <w:rsid w:val="00D5081A"/>
    <w:rsid w:val="00D52DB0"/>
    <w:rsid w:val="00D541C5"/>
    <w:rsid w:val="00D542F9"/>
    <w:rsid w:val="00D542FD"/>
    <w:rsid w:val="00D54418"/>
    <w:rsid w:val="00D553F6"/>
    <w:rsid w:val="00D5698D"/>
    <w:rsid w:val="00D63421"/>
    <w:rsid w:val="00D63655"/>
    <w:rsid w:val="00D6365A"/>
    <w:rsid w:val="00D6371B"/>
    <w:rsid w:val="00D63EFC"/>
    <w:rsid w:val="00D661C2"/>
    <w:rsid w:val="00D6629A"/>
    <w:rsid w:val="00D67665"/>
    <w:rsid w:val="00D70B98"/>
    <w:rsid w:val="00D72A7E"/>
    <w:rsid w:val="00D7394D"/>
    <w:rsid w:val="00D74F12"/>
    <w:rsid w:val="00D75FBF"/>
    <w:rsid w:val="00D76206"/>
    <w:rsid w:val="00D762E8"/>
    <w:rsid w:val="00D8099F"/>
    <w:rsid w:val="00D81417"/>
    <w:rsid w:val="00D834C2"/>
    <w:rsid w:val="00D83692"/>
    <w:rsid w:val="00D83F79"/>
    <w:rsid w:val="00D84808"/>
    <w:rsid w:val="00D86CF0"/>
    <w:rsid w:val="00D90017"/>
    <w:rsid w:val="00D901C0"/>
    <w:rsid w:val="00D90FAE"/>
    <w:rsid w:val="00D91357"/>
    <w:rsid w:val="00D92932"/>
    <w:rsid w:val="00D931F5"/>
    <w:rsid w:val="00D93FE6"/>
    <w:rsid w:val="00D945E4"/>
    <w:rsid w:val="00D94835"/>
    <w:rsid w:val="00D95102"/>
    <w:rsid w:val="00D9640A"/>
    <w:rsid w:val="00D971EB"/>
    <w:rsid w:val="00DA341E"/>
    <w:rsid w:val="00DA4339"/>
    <w:rsid w:val="00DA4413"/>
    <w:rsid w:val="00DA5CD1"/>
    <w:rsid w:val="00DB0E9E"/>
    <w:rsid w:val="00DB1906"/>
    <w:rsid w:val="00DB2691"/>
    <w:rsid w:val="00DB4EDB"/>
    <w:rsid w:val="00DC559C"/>
    <w:rsid w:val="00DC7A40"/>
    <w:rsid w:val="00DD2934"/>
    <w:rsid w:val="00DD2B21"/>
    <w:rsid w:val="00DD6066"/>
    <w:rsid w:val="00DD606B"/>
    <w:rsid w:val="00DE0480"/>
    <w:rsid w:val="00DE1B03"/>
    <w:rsid w:val="00DE2691"/>
    <w:rsid w:val="00DE2FE7"/>
    <w:rsid w:val="00DE384D"/>
    <w:rsid w:val="00DE3CC0"/>
    <w:rsid w:val="00DE44FC"/>
    <w:rsid w:val="00DE5794"/>
    <w:rsid w:val="00DE5AE5"/>
    <w:rsid w:val="00DE5D05"/>
    <w:rsid w:val="00DE74FD"/>
    <w:rsid w:val="00DF02AA"/>
    <w:rsid w:val="00DF6E5A"/>
    <w:rsid w:val="00E012E4"/>
    <w:rsid w:val="00E01E9F"/>
    <w:rsid w:val="00E04459"/>
    <w:rsid w:val="00E06C95"/>
    <w:rsid w:val="00E07320"/>
    <w:rsid w:val="00E11449"/>
    <w:rsid w:val="00E11D2C"/>
    <w:rsid w:val="00E1255A"/>
    <w:rsid w:val="00E12A03"/>
    <w:rsid w:val="00E12A06"/>
    <w:rsid w:val="00E13E53"/>
    <w:rsid w:val="00E16260"/>
    <w:rsid w:val="00E1653D"/>
    <w:rsid w:val="00E21EB2"/>
    <w:rsid w:val="00E22ECB"/>
    <w:rsid w:val="00E24579"/>
    <w:rsid w:val="00E246DC"/>
    <w:rsid w:val="00E24883"/>
    <w:rsid w:val="00E24CB4"/>
    <w:rsid w:val="00E30CEE"/>
    <w:rsid w:val="00E322A7"/>
    <w:rsid w:val="00E32B4B"/>
    <w:rsid w:val="00E332AE"/>
    <w:rsid w:val="00E35067"/>
    <w:rsid w:val="00E35D11"/>
    <w:rsid w:val="00E35F9B"/>
    <w:rsid w:val="00E3637F"/>
    <w:rsid w:val="00E4454B"/>
    <w:rsid w:val="00E45C3B"/>
    <w:rsid w:val="00E46301"/>
    <w:rsid w:val="00E4668F"/>
    <w:rsid w:val="00E46E16"/>
    <w:rsid w:val="00E50860"/>
    <w:rsid w:val="00E52225"/>
    <w:rsid w:val="00E53813"/>
    <w:rsid w:val="00E54D67"/>
    <w:rsid w:val="00E54DED"/>
    <w:rsid w:val="00E55281"/>
    <w:rsid w:val="00E55FF8"/>
    <w:rsid w:val="00E60C69"/>
    <w:rsid w:val="00E61C0D"/>
    <w:rsid w:val="00E65193"/>
    <w:rsid w:val="00E6572B"/>
    <w:rsid w:val="00E6606F"/>
    <w:rsid w:val="00E66558"/>
    <w:rsid w:val="00E70B0F"/>
    <w:rsid w:val="00E70FA8"/>
    <w:rsid w:val="00E7104D"/>
    <w:rsid w:val="00E71EAF"/>
    <w:rsid w:val="00E7617D"/>
    <w:rsid w:val="00E7629A"/>
    <w:rsid w:val="00E7639E"/>
    <w:rsid w:val="00E76BF9"/>
    <w:rsid w:val="00E76C04"/>
    <w:rsid w:val="00E76C37"/>
    <w:rsid w:val="00E77E32"/>
    <w:rsid w:val="00E83A22"/>
    <w:rsid w:val="00E86031"/>
    <w:rsid w:val="00E866A3"/>
    <w:rsid w:val="00E87CF3"/>
    <w:rsid w:val="00E93C15"/>
    <w:rsid w:val="00E959F7"/>
    <w:rsid w:val="00E977ED"/>
    <w:rsid w:val="00E97E75"/>
    <w:rsid w:val="00EA146D"/>
    <w:rsid w:val="00EA20E6"/>
    <w:rsid w:val="00EA6F54"/>
    <w:rsid w:val="00EA705E"/>
    <w:rsid w:val="00EB070A"/>
    <w:rsid w:val="00EB2599"/>
    <w:rsid w:val="00EB57B7"/>
    <w:rsid w:val="00EB7EE6"/>
    <w:rsid w:val="00EB7EFB"/>
    <w:rsid w:val="00EC3358"/>
    <w:rsid w:val="00EC3AA8"/>
    <w:rsid w:val="00EC4B9E"/>
    <w:rsid w:val="00EC4F17"/>
    <w:rsid w:val="00ED0FA7"/>
    <w:rsid w:val="00ED37A5"/>
    <w:rsid w:val="00ED4535"/>
    <w:rsid w:val="00ED6F3A"/>
    <w:rsid w:val="00ED7946"/>
    <w:rsid w:val="00EE0D43"/>
    <w:rsid w:val="00EE1AED"/>
    <w:rsid w:val="00EE2A51"/>
    <w:rsid w:val="00EE2ACC"/>
    <w:rsid w:val="00EE2BB4"/>
    <w:rsid w:val="00EE4A00"/>
    <w:rsid w:val="00EE5EBD"/>
    <w:rsid w:val="00EE6F1D"/>
    <w:rsid w:val="00EF333C"/>
    <w:rsid w:val="00EF3341"/>
    <w:rsid w:val="00EF3CBA"/>
    <w:rsid w:val="00EF5D73"/>
    <w:rsid w:val="00EF78C9"/>
    <w:rsid w:val="00F00104"/>
    <w:rsid w:val="00F02A37"/>
    <w:rsid w:val="00F032EC"/>
    <w:rsid w:val="00F07796"/>
    <w:rsid w:val="00F112CF"/>
    <w:rsid w:val="00F12F57"/>
    <w:rsid w:val="00F14530"/>
    <w:rsid w:val="00F14760"/>
    <w:rsid w:val="00F15DD4"/>
    <w:rsid w:val="00F15FC8"/>
    <w:rsid w:val="00F169DF"/>
    <w:rsid w:val="00F212F1"/>
    <w:rsid w:val="00F22A55"/>
    <w:rsid w:val="00F2633E"/>
    <w:rsid w:val="00F26A57"/>
    <w:rsid w:val="00F26C8C"/>
    <w:rsid w:val="00F27EFD"/>
    <w:rsid w:val="00F305E4"/>
    <w:rsid w:val="00F30D37"/>
    <w:rsid w:val="00F32393"/>
    <w:rsid w:val="00F32D06"/>
    <w:rsid w:val="00F33799"/>
    <w:rsid w:val="00F40B5C"/>
    <w:rsid w:val="00F40E7C"/>
    <w:rsid w:val="00F4292F"/>
    <w:rsid w:val="00F4397A"/>
    <w:rsid w:val="00F5114E"/>
    <w:rsid w:val="00F5429E"/>
    <w:rsid w:val="00F550C4"/>
    <w:rsid w:val="00F5546B"/>
    <w:rsid w:val="00F60AFD"/>
    <w:rsid w:val="00F61C46"/>
    <w:rsid w:val="00F62634"/>
    <w:rsid w:val="00F6398B"/>
    <w:rsid w:val="00F67416"/>
    <w:rsid w:val="00F67DB9"/>
    <w:rsid w:val="00F70B61"/>
    <w:rsid w:val="00F720DB"/>
    <w:rsid w:val="00F72AFF"/>
    <w:rsid w:val="00F73708"/>
    <w:rsid w:val="00F73E51"/>
    <w:rsid w:val="00F749C4"/>
    <w:rsid w:val="00F76E29"/>
    <w:rsid w:val="00F771C4"/>
    <w:rsid w:val="00F779A2"/>
    <w:rsid w:val="00F8067E"/>
    <w:rsid w:val="00F8187C"/>
    <w:rsid w:val="00F82848"/>
    <w:rsid w:val="00F82E59"/>
    <w:rsid w:val="00F8459A"/>
    <w:rsid w:val="00F84C31"/>
    <w:rsid w:val="00F85148"/>
    <w:rsid w:val="00F85FC6"/>
    <w:rsid w:val="00F866C8"/>
    <w:rsid w:val="00F879E5"/>
    <w:rsid w:val="00F90179"/>
    <w:rsid w:val="00F90A8B"/>
    <w:rsid w:val="00F93F1E"/>
    <w:rsid w:val="00F97FC6"/>
    <w:rsid w:val="00FA0A84"/>
    <w:rsid w:val="00FA25F3"/>
    <w:rsid w:val="00FA4077"/>
    <w:rsid w:val="00FA4D77"/>
    <w:rsid w:val="00FA6019"/>
    <w:rsid w:val="00FB2593"/>
    <w:rsid w:val="00FB34F4"/>
    <w:rsid w:val="00FB3C97"/>
    <w:rsid w:val="00FB4A58"/>
    <w:rsid w:val="00FB4D10"/>
    <w:rsid w:val="00FC0FFB"/>
    <w:rsid w:val="00FC15A6"/>
    <w:rsid w:val="00FC2C3D"/>
    <w:rsid w:val="00FC5B8F"/>
    <w:rsid w:val="00FC5F47"/>
    <w:rsid w:val="00FD2CA8"/>
    <w:rsid w:val="00FD3ED3"/>
    <w:rsid w:val="00FE0C5B"/>
    <w:rsid w:val="00FE4911"/>
    <w:rsid w:val="00FE61F3"/>
    <w:rsid w:val="00FE793C"/>
    <w:rsid w:val="00FF0B5E"/>
    <w:rsid w:val="00FF19A7"/>
    <w:rsid w:val="00FF28AD"/>
    <w:rsid w:val="00FF47FB"/>
    <w:rsid w:val="00FF6903"/>
    <w:rsid w:val="00FF6966"/>
    <w:rsid w:val="00FF6C5D"/>
    <w:rsid w:val="00FF75E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CDA7C027-9175-46DE-AB90-2A1ACB0A5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6E83"/>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normaltextrun">
    <w:name w:val="normaltextrun"/>
    <w:basedOn w:val="DefaultParagraphFont"/>
    <w:rsid w:val="00147A0A"/>
  </w:style>
  <w:style w:type="character" w:customStyle="1" w:styleId="eop">
    <w:name w:val="eop"/>
    <w:basedOn w:val="DefaultParagraphFont"/>
    <w:rsid w:val="00147A0A"/>
  </w:style>
  <w:style w:type="character" w:styleId="PlaceholderText">
    <w:name w:val="Placeholder Text"/>
    <w:basedOn w:val="DefaultParagraphFont"/>
    <w:rsid w:val="00557992"/>
    <w:rPr>
      <w:color w:val="808080"/>
    </w:rPr>
  </w:style>
  <w:style w:type="table" w:styleId="TableGrid">
    <w:name w:val="Table Grid"/>
    <w:basedOn w:val="TableNormal"/>
    <w:uiPriority w:val="39"/>
    <w:rsid w:val="003711AF"/>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830">
      <w:bodyDiv w:val="1"/>
      <w:marLeft w:val="0"/>
      <w:marRight w:val="0"/>
      <w:marTop w:val="0"/>
      <w:marBottom w:val="0"/>
      <w:divBdr>
        <w:top w:val="none" w:sz="0" w:space="0" w:color="auto"/>
        <w:left w:val="none" w:sz="0" w:space="0" w:color="auto"/>
        <w:bottom w:val="none" w:sz="0" w:space="0" w:color="auto"/>
        <w:right w:val="none" w:sz="0" w:space="0" w:color="auto"/>
      </w:divBdr>
    </w:div>
    <w:div w:id="1365598327">
      <w:bodyDiv w:val="1"/>
      <w:marLeft w:val="0"/>
      <w:marRight w:val="0"/>
      <w:marTop w:val="0"/>
      <w:marBottom w:val="0"/>
      <w:divBdr>
        <w:top w:val="none" w:sz="0" w:space="0" w:color="auto"/>
        <w:left w:val="none" w:sz="0" w:space="0" w:color="auto"/>
        <w:bottom w:val="none" w:sz="0" w:space="0" w:color="auto"/>
        <w:right w:val="none" w:sz="0" w:space="0" w:color="auto"/>
      </w:divBdr>
    </w:div>
    <w:div w:id="2098476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ucationendowmentfoundation.org.uk/education-evidence/teaching-learning-toolkit/small-group-tuitio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educationendowmentfoundation.org.uk/education-evidence/teaching-learning-toolkit/one-to-one-tuition" TargetMode="External"/><Relationship Id="rId17" Type="http://schemas.openxmlformats.org/officeDocument/2006/relationships/hyperlink" Target="https://educationendowmentfoundation.org.uk/education-evidence/teaching-learning-toolkit/mentoring" TargetMode="External"/><Relationship Id="rId2" Type="http://schemas.openxmlformats.org/officeDocument/2006/relationships/customXml" Target="../customXml/item2.xml"/><Relationship Id="rId16" Type="http://schemas.openxmlformats.org/officeDocument/2006/relationships/hyperlink" Target="https://educationendowmentfoundation.org.uk/education-evidence/teaching-learning-toolkit/behaviour-intervent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endowmentfoundation.org.uk/education-evidence/teaching-learning-toolkit/one-to-one-tuition" TargetMode="External"/><Relationship Id="rId5" Type="http://schemas.openxmlformats.org/officeDocument/2006/relationships/styles" Target="styles.xml"/><Relationship Id="rId15" Type="http://schemas.openxmlformats.org/officeDocument/2006/relationships/hyperlink" Target="https://educationendowmentfoundation.org.uk/education-evidence/teaching-learning-toolkit/reading-comprehension-strategies" TargetMode="External"/><Relationship Id="rId10" Type="http://schemas.openxmlformats.org/officeDocument/2006/relationships/hyperlink" Target="https://educationendowmentfoundation.org.uk/education-evidence/teaching-learning-toolkit/feedback"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endowmentfoundation.org.uk/education-evidence/teaching-learning-toolkit/extending-school-t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11EECAACEFEE4195E6832C5995A05F" ma:contentTypeVersion="16" ma:contentTypeDescription="Create a new document." ma:contentTypeScope="" ma:versionID="b7bef79cbf716ebca2ed3777582eebf7">
  <xsd:schema xmlns:xsd="http://www.w3.org/2001/XMLSchema" xmlns:xs="http://www.w3.org/2001/XMLSchema" xmlns:p="http://schemas.microsoft.com/office/2006/metadata/properties" xmlns:ns3="616ddd66-f10b-4f47-9821-26bf20e0c695" xmlns:ns4="57d9601c-1668-4a7f-9d9a-ffc600b8448c" targetNamespace="http://schemas.microsoft.com/office/2006/metadata/properties" ma:root="true" ma:fieldsID="df867d76988c6d7b2777a56207c120bf" ns3:_="" ns4:_="">
    <xsd:import namespace="616ddd66-f10b-4f47-9821-26bf20e0c695"/>
    <xsd:import namespace="57d9601c-1668-4a7f-9d9a-ffc600b8448c"/>
    <xsd:element name="properties">
      <xsd:complexType>
        <xsd:sequence>
          <xsd:element name="documentManagement">
            <xsd:complexType>
              <xsd:all>
                <xsd:element ref="ns3:SharedWithDetails" minOccurs="0"/>
                <xsd:element ref="ns3:SharingHintHash" minOccurs="0"/>
                <xsd:element ref="ns3:SharedWithUsers"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ServiceAutoKeyPoints" minOccurs="0"/>
                <xsd:element ref="ns4:MediaServiceKeyPoints"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ddd66-f10b-4f47-9821-26bf20e0c695"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7d9601c-1668-4a7f-9d9a-ffc600b8448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57d9601c-1668-4a7f-9d9a-ffc600b8448c" xsi:nil="true"/>
  </documentManagement>
</p:properties>
</file>

<file path=customXml/itemProps1.xml><?xml version="1.0" encoding="utf-8"?>
<ds:datastoreItem xmlns:ds="http://schemas.openxmlformats.org/officeDocument/2006/customXml" ds:itemID="{F346C419-786F-4A69-B30A-4E8BC9AA26C4}">
  <ds:schemaRefs>
    <ds:schemaRef ds:uri="http://schemas.microsoft.com/sharepoint/v3/contenttype/forms"/>
  </ds:schemaRefs>
</ds:datastoreItem>
</file>

<file path=customXml/itemProps2.xml><?xml version="1.0" encoding="utf-8"?>
<ds:datastoreItem xmlns:ds="http://schemas.openxmlformats.org/officeDocument/2006/customXml" ds:itemID="{AC94490D-3EE2-4B9B-8BB3-977AC2449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6ddd66-f10b-4f47-9821-26bf20e0c695"/>
    <ds:schemaRef ds:uri="57d9601c-1668-4a7f-9d9a-ffc600b844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E81482-DF4A-409B-A443-DE808E2558FC}">
  <ds:schemaRefs>
    <ds:schemaRef ds:uri="http://purl.org/dc/dcmitype/"/>
    <ds:schemaRef ds:uri="http://schemas.microsoft.com/office/2006/metadata/properties"/>
    <ds:schemaRef ds:uri="http://purl.org/dc/elements/1.1/"/>
    <ds:schemaRef ds:uri="57d9601c-1668-4a7f-9d9a-ffc600b8448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16ddd66-f10b-4f47-9821-26bf20e0c69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1709</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11429</CharactersWithSpaces>
  <SharedDoc>false</SharedDoc>
  <HLinks>
    <vt:vector size="108" baseType="variant">
      <vt:variant>
        <vt:i4>6488189</vt:i4>
      </vt:variant>
      <vt:variant>
        <vt:i4>51</vt:i4>
      </vt:variant>
      <vt:variant>
        <vt:i4>0</vt:i4>
      </vt:variant>
      <vt:variant>
        <vt:i4>5</vt:i4>
      </vt:variant>
      <vt:variant>
        <vt:lpwstr>https://educationendowmentfoundation.org.uk/education-evidence/guidance-reports/implementation</vt:lpwstr>
      </vt:variant>
      <vt:variant>
        <vt:lpwstr/>
      </vt:variant>
      <vt:variant>
        <vt:i4>2424933</vt:i4>
      </vt:variant>
      <vt:variant>
        <vt:i4>48</vt:i4>
      </vt:variant>
      <vt:variant>
        <vt:i4>0</vt:i4>
      </vt:variant>
      <vt:variant>
        <vt:i4>5</vt:i4>
      </vt:variant>
      <vt:variant>
        <vt:lpwstr>https://www.gov.uk/guidance/mental-health-and-wellbeing-support-in-schools-and-colleges</vt:lpwstr>
      </vt:variant>
      <vt:variant>
        <vt:lpwstr>MHST</vt:lpwstr>
      </vt:variant>
      <vt:variant>
        <vt:i4>5636127</vt:i4>
      </vt:variant>
      <vt:variant>
        <vt:i4>45</vt:i4>
      </vt:variant>
      <vt:variant>
        <vt:i4>0</vt:i4>
      </vt:variant>
      <vt:variant>
        <vt:i4>5</vt:i4>
      </vt:variant>
      <vt:variant>
        <vt:lpwstr>https://educationendowmentfoundation.org.uk/education-evidence/teaching-learning-toolkit/feedback</vt:lpwstr>
      </vt:variant>
      <vt:variant>
        <vt:lpwstr/>
      </vt:variant>
      <vt:variant>
        <vt:i4>6160462</vt:i4>
      </vt:variant>
      <vt:variant>
        <vt:i4>42</vt:i4>
      </vt:variant>
      <vt:variant>
        <vt:i4>0</vt:i4>
      </vt:variant>
      <vt:variant>
        <vt:i4>5</vt:i4>
      </vt:variant>
      <vt:variant>
        <vt:lpwstr>https://www.gov.uk/government/publications/school-attendance/framework-for-securing-full-attendance-actions-for-schools-and-local-authorities</vt:lpwstr>
      </vt:variant>
      <vt:variant>
        <vt:lpwstr/>
      </vt:variant>
      <vt:variant>
        <vt:i4>5046364</vt:i4>
      </vt:variant>
      <vt:variant>
        <vt:i4>39</vt:i4>
      </vt:variant>
      <vt:variant>
        <vt:i4>0</vt:i4>
      </vt:variant>
      <vt:variant>
        <vt:i4>5</vt:i4>
      </vt:variant>
      <vt:variant>
        <vt:lpwstr>https://www.eif.org.uk/report/adolescent-mental-health-a-systematic-review-on-the-effectiveness-of-school-based-interventions</vt:lpwstr>
      </vt:variant>
      <vt:variant>
        <vt:lpwstr/>
      </vt:variant>
      <vt:variant>
        <vt:i4>5505110</vt:i4>
      </vt:variant>
      <vt:variant>
        <vt:i4>36</vt:i4>
      </vt:variant>
      <vt:variant>
        <vt:i4>0</vt:i4>
      </vt:variant>
      <vt:variant>
        <vt:i4>5</vt:i4>
      </vt:variant>
      <vt:variant>
        <vt:lpwstr>https://youthendowmentfund.org.uk/toolkit/cognitive-behavioural-therapy/</vt:lpwstr>
      </vt:variant>
      <vt:variant>
        <vt:lpwstr/>
      </vt:variant>
      <vt:variant>
        <vt:i4>5898269</vt:i4>
      </vt:variant>
      <vt:variant>
        <vt:i4>33</vt:i4>
      </vt:variant>
      <vt:variant>
        <vt:i4>0</vt:i4>
      </vt:variant>
      <vt:variant>
        <vt:i4>5</vt:i4>
      </vt:variant>
      <vt:variant>
        <vt:lpwstr>https://educationendowmentfoundation.org.uk/projects-and-evaluation/projects/national-school-breakfast-programme</vt:lpwstr>
      </vt:variant>
      <vt:variant>
        <vt:lpwstr/>
      </vt:variant>
      <vt:variant>
        <vt:i4>8126581</vt:i4>
      </vt:variant>
      <vt:variant>
        <vt:i4>30</vt:i4>
      </vt:variant>
      <vt:variant>
        <vt:i4>0</vt:i4>
      </vt:variant>
      <vt:variant>
        <vt:i4>5</vt:i4>
      </vt:variant>
      <vt:variant>
        <vt:lpwstr>https://www.gov.uk/guidance/breakfast-clubs-programme-2021-2023</vt:lpwstr>
      </vt:variant>
      <vt:variant>
        <vt:lpwstr/>
      </vt:variant>
      <vt:variant>
        <vt:i4>1835075</vt:i4>
      </vt:variant>
      <vt:variant>
        <vt:i4>27</vt:i4>
      </vt:variant>
      <vt:variant>
        <vt:i4>0</vt:i4>
      </vt:variant>
      <vt:variant>
        <vt:i4>5</vt:i4>
      </vt:variant>
      <vt:variant>
        <vt:lpwstr>https://educationendowmentfoundation.org.uk/evidence-summaries/teaching-learning-toolkit/small-group-tuition/</vt:lpwstr>
      </vt:variant>
      <vt:variant>
        <vt:lpwstr/>
      </vt:variant>
      <vt:variant>
        <vt:i4>2752557</vt:i4>
      </vt:variant>
      <vt:variant>
        <vt:i4>24</vt:i4>
      </vt:variant>
      <vt:variant>
        <vt:i4>0</vt:i4>
      </vt:variant>
      <vt:variant>
        <vt:i4>5</vt:i4>
      </vt:variant>
      <vt:variant>
        <vt:lpwstr>https://educationendowmentfoundation.org.uk/education-evidence/teaching-learning-toolkit/one-to-one-tuition</vt:lpwstr>
      </vt:variant>
      <vt:variant>
        <vt:lpwstr/>
      </vt:variant>
      <vt:variant>
        <vt:i4>3670061</vt:i4>
      </vt:variant>
      <vt:variant>
        <vt:i4>21</vt:i4>
      </vt:variant>
      <vt:variant>
        <vt:i4>0</vt:i4>
      </vt:variant>
      <vt:variant>
        <vt:i4>5</vt:i4>
      </vt:variant>
      <vt:variant>
        <vt:lpwstr>https://educationendowmentfoundation.org.uk/evidence-summaries/teaching-learning-toolkit/reading-comprehension-strategies/</vt:lpwstr>
      </vt:variant>
      <vt:variant>
        <vt:lpwstr/>
      </vt:variant>
      <vt:variant>
        <vt:i4>1966095</vt:i4>
      </vt:variant>
      <vt:variant>
        <vt:i4>18</vt:i4>
      </vt:variant>
      <vt:variant>
        <vt:i4>0</vt:i4>
      </vt:variant>
      <vt:variant>
        <vt:i4>5</vt:i4>
      </vt:variant>
      <vt:variant>
        <vt:lpwstr>https://www.oup.com.cn/test/word-gap.pdf</vt:lpwstr>
      </vt:variant>
      <vt:variant>
        <vt:lpwstr/>
      </vt:variant>
      <vt:variant>
        <vt:i4>2752637</vt:i4>
      </vt:variant>
      <vt:variant>
        <vt:i4>15</vt:i4>
      </vt:variant>
      <vt:variant>
        <vt:i4>0</vt:i4>
      </vt:variant>
      <vt:variant>
        <vt:i4>5</vt:i4>
      </vt:variant>
      <vt:variant>
        <vt:lpwstr>https://d2tic4wvo1iusb.cloudfront.net/guidance-reports/improving-literacy-in-secondary-schools/EEF_KS3_KS4_LITERACY_GUIDANCE.pdf</vt:lpwstr>
      </vt:variant>
      <vt:variant>
        <vt:lpwstr/>
      </vt:variant>
      <vt:variant>
        <vt:i4>5046273</vt:i4>
      </vt:variant>
      <vt:variant>
        <vt:i4>12</vt:i4>
      </vt:variant>
      <vt:variant>
        <vt:i4>0</vt:i4>
      </vt:variant>
      <vt:variant>
        <vt:i4>5</vt:i4>
      </vt:variant>
      <vt:variant>
        <vt:lpwstr>https://educationendowmentfoundation.org.uk/public/files/Publications/Maths/KS2_KS3_Maths_Guidance_2017.pdf</vt:lpwstr>
      </vt:variant>
      <vt:variant>
        <vt:lpwstr/>
      </vt:variant>
      <vt:variant>
        <vt:i4>8192121</vt:i4>
      </vt:variant>
      <vt:variant>
        <vt:i4>9</vt:i4>
      </vt:variant>
      <vt:variant>
        <vt:i4>0</vt:i4>
      </vt:variant>
      <vt:variant>
        <vt:i4>5</vt:i4>
      </vt:variant>
      <vt:variant>
        <vt:lpwstr>https://www.gov.uk/government/publications/teaching-mathematics-at-key-stage-3</vt:lpwstr>
      </vt:variant>
      <vt:variant>
        <vt:lpwstr/>
      </vt:variant>
      <vt:variant>
        <vt:i4>917508</vt:i4>
      </vt:variant>
      <vt:variant>
        <vt:i4>6</vt:i4>
      </vt:variant>
      <vt:variant>
        <vt:i4>0</vt:i4>
      </vt:variant>
      <vt:variant>
        <vt:i4>5</vt:i4>
      </vt:variant>
      <vt:variant>
        <vt:lpwstr>https://educationendowmentfoundation.org.uk/evidence-summaries/teaching-learning-toolkit/meta-cognition-and-self-regulation/</vt:lpwstr>
      </vt:variant>
      <vt:variant>
        <vt:lpwstr/>
      </vt:variant>
      <vt:variant>
        <vt:i4>10</vt:i4>
      </vt:variant>
      <vt:variant>
        <vt:i4>3</vt:i4>
      </vt:variant>
      <vt:variant>
        <vt:i4>0</vt:i4>
      </vt:variant>
      <vt:variant>
        <vt:i4>5</vt:i4>
      </vt:variant>
      <vt:variant>
        <vt:lpwstr>https://educationendowmentfoundation.org.uk/tools/assessing-and-monitoring-pupil-progress/testing/standardised-tests/</vt:lpwstr>
      </vt:variant>
      <vt:variant>
        <vt:lpwstr/>
      </vt:variant>
      <vt:variant>
        <vt:i4>7864367</vt:i4>
      </vt:variant>
      <vt:variant>
        <vt:i4>0</vt:i4>
      </vt:variant>
      <vt:variant>
        <vt:i4>0</vt:i4>
      </vt:variant>
      <vt:variant>
        <vt:i4>5</vt:i4>
      </vt:variant>
      <vt:variant>
        <vt:lpwstr>https://www.gov.uk/guidance/pupil-premium-effective-use-and-accountability</vt:lpwstr>
      </vt:variant>
      <vt:variant>
        <vt:lpwstr>online-statements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cp:keywords/>
  <dc:description>Master-ET-v3.8</dc:description>
  <cp:lastModifiedBy>MHambrook</cp:lastModifiedBy>
  <cp:revision>7</cp:revision>
  <cp:lastPrinted>2022-04-29T14:04:00Z</cp:lastPrinted>
  <dcterms:created xsi:type="dcterms:W3CDTF">2023-11-16T22:45:00Z</dcterms:created>
  <dcterms:modified xsi:type="dcterms:W3CDTF">2024-01-26T12:14:00Z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0x010100E311EECAACEFEE4195E6832C5995A05F</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